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FBB6" w14:textId="77777777" w:rsidR="00FF1E28" w:rsidRDefault="00FF1E28">
      <w:pPr>
        <w:spacing w:after="120"/>
        <w:rPr>
          <w:rFonts w:ascii="黑体" w:eastAsia="黑体" w:hAnsi="黑体" w:cs="黑体"/>
          <w:sz w:val="44"/>
          <w:szCs w:val="44"/>
        </w:rPr>
      </w:pPr>
    </w:p>
    <w:p w14:paraId="55E14C42" w14:textId="77777777" w:rsidR="00FF1E28" w:rsidRDefault="00000000">
      <w:pPr>
        <w:spacing w:after="120"/>
        <w:jc w:val="center"/>
        <w:rPr>
          <w:rFonts w:ascii="黑体" w:eastAsia="黑体" w:hAnsi="黑体" w:cs="黑体"/>
          <w:sz w:val="44"/>
          <w:szCs w:val="44"/>
        </w:rPr>
      </w:pPr>
      <w:r>
        <w:rPr>
          <w:rFonts w:ascii="黑体" w:eastAsia="黑体" w:hAnsi="黑体" w:cs="黑体" w:hint="eastAsia"/>
          <w:sz w:val="44"/>
          <w:szCs w:val="44"/>
        </w:rPr>
        <w:t>算法决策中的就业歧视生成机制与法律规制困境：以机器学习用工匹配为考察中心</w:t>
      </w:r>
    </w:p>
    <w:p w14:paraId="3F376355" w14:textId="7ECF2DC0" w:rsidR="00FF1E28" w:rsidRDefault="00362788">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朱秀全</w:t>
      </w:r>
    </w:p>
    <w:p w14:paraId="4AEA882C" w14:textId="23F58B03" w:rsidR="00FF1E28" w:rsidRDefault="00362788">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重庆理工大学</w:t>
      </w:r>
    </w:p>
    <w:p w14:paraId="2276E716" w14:textId="37874AC4" w:rsidR="00FF1E28"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362788">
        <w:rPr>
          <w:rFonts w:ascii="Songti SC Bold" w:eastAsia="Songti SC Bold" w:hAnsi="Songti SC Bold" w:cs="Songti SC Bold" w:hint="eastAsia"/>
          <w:sz w:val="18"/>
          <w:szCs w:val="18"/>
        </w:rPr>
        <w:t>朱秀全</w:t>
      </w:r>
      <w:r>
        <w:rPr>
          <w:rFonts w:ascii="Songti SC Bold" w:eastAsia="Songti SC Bold" w:hAnsi="Songti SC Bold" w:cs="Songti SC Bold" w:hint="eastAsia"/>
          <w:sz w:val="18"/>
          <w:szCs w:val="18"/>
        </w:rPr>
        <w:t xml:space="preserve">   E-mail：</w:t>
      </w:r>
      <w:r w:rsidR="00362788">
        <w:rPr>
          <w:rFonts w:ascii="Songti SC Bold" w:eastAsia="Songti SC Bold" w:hAnsi="Songti SC Bold" w:cs="Songti SC Bold" w:hint="eastAsia"/>
          <w:sz w:val="18"/>
          <w:szCs w:val="18"/>
        </w:rPr>
        <w:t>131232416@qq.com</w:t>
      </w:r>
    </w:p>
    <w:p w14:paraId="468C0E6F" w14:textId="77777777" w:rsidR="00FF1E28" w:rsidRDefault="00FF1E28">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FF1E28" w14:paraId="1614F146" w14:textId="77777777">
        <w:trPr>
          <w:trHeight w:val="385"/>
        </w:trPr>
        <w:tc>
          <w:tcPr>
            <w:tcW w:w="1680" w:type="pct"/>
            <w:tcBorders>
              <w:left w:val="nil"/>
              <w:bottom w:val="single" w:sz="4" w:space="0" w:color="auto"/>
              <w:right w:val="nil"/>
            </w:tcBorders>
            <w:vAlign w:val="center"/>
          </w:tcPr>
          <w:p w14:paraId="06129131" w14:textId="77777777" w:rsidR="00FF1E28"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1158C89D" w14:textId="77777777" w:rsidR="00FF1E28"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FF1E28" w14:paraId="0229AC58" w14:textId="77777777">
        <w:trPr>
          <w:trHeight w:val="273"/>
        </w:trPr>
        <w:tc>
          <w:tcPr>
            <w:tcW w:w="1680" w:type="pct"/>
            <w:tcBorders>
              <w:top w:val="single" w:sz="4" w:space="0" w:color="auto"/>
              <w:left w:val="nil"/>
              <w:bottom w:val="nil"/>
              <w:right w:val="nil"/>
            </w:tcBorders>
            <w:vAlign w:val="center"/>
          </w:tcPr>
          <w:p w14:paraId="3C78D3C9" w14:textId="77777777" w:rsidR="00FF1E28"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02619932" w14:textId="77777777" w:rsidR="00FF1E28" w:rsidRDefault="00000000">
            <w:pPr>
              <w:spacing w:after="120"/>
              <w:jc w:val="left"/>
              <w:rPr>
                <w:rFonts w:ascii="楷体" w:eastAsia="楷体" w:hAnsi="楷体" w:cs="楷体"/>
                <w:szCs w:val="18"/>
              </w:rPr>
            </w:pPr>
            <w:r>
              <w:rPr>
                <w:rFonts w:ascii="楷体" w:eastAsia="楷体" w:hAnsi="楷体" w:cs="楷体" w:hint="eastAsia"/>
                <w:szCs w:val="18"/>
              </w:rPr>
              <w:t>机器学习用工匹配系统的广泛应用正在深刻改变劳动力市场的筛选与录用方式，但算法决策中的就业歧视问题亦随之浮现。算法歧视区别于传统人类歧视，其生成机制隐匿于数据偏见、特征代理与模型黑箱的技术结构之中，并经由组织层面的无意识偏见与算法权威主义进一步放大。然而，现行反歧视法律框架以“直接故意”为核心归责要件，难以有效回应算法歧视的无意图特征；举证责任分配与算法商业秘密之间的张力，更使受害者陷入“无法证明被歧视”的困境。欧盟《人工智能法案》将招聘系统列为高风险并施加基本权利影响评估义务，美国平等就业机会委员会发布技术指南强调差别影响责任理论的可适用性，而中国现行规范则呈现碎片化分布，缺乏专门针对用工算法的反歧视条款。算法就业歧视的规制，亟需超越传统反歧视法框架，构建“算法—劳动”专门规制体系：事前强制第三方算法影响评估，事中要求提供可解释的拒绝理由，事后实行举证责任倒置，并将公平性度量指标纳入技术认证体系。</w:t>
            </w:r>
          </w:p>
          <w:p w14:paraId="753EB81A" w14:textId="77777777" w:rsidR="00FF1E28" w:rsidRDefault="00000000">
            <w:pPr>
              <w:spacing w:after="120"/>
              <w:jc w:val="left"/>
              <w:rPr>
                <w:rFonts w:ascii="楷体" w:eastAsia="楷体" w:hAnsi="楷体" w:cs="楷体"/>
                <w:szCs w:val="18"/>
              </w:rPr>
            </w:pPr>
            <w:r>
              <w:rPr>
                <w:rFonts w:ascii="楷体" w:eastAsia="楷体" w:hAnsi="楷体" w:cs="楷体" w:hint="eastAsia"/>
                <w:szCs w:val="18"/>
              </w:rPr>
              <w:t>公共产品供给的创新实践中展现出独特的方法论意义与理论价值。</w:t>
            </w:r>
          </w:p>
        </w:tc>
      </w:tr>
      <w:tr w:rsidR="00FF1E28" w14:paraId="40FDED54" w14:textId="77777777">
        <w:trPr>
          <w:trHeight w:val="763"/>
        </w:trPr>
        <w:tc>
          <w:tcPr>
            <w:tcW w:w="1680" w:type="pct"/>
            <w:tcBorders>
              <w:top w:val="nil"/>
              <w:left w:val="nil"/>
              <w:bottom w:val="nil"/>
              <w:right w:val="nil"/>
            </w:tcBorders>
            <w:vAlign w:val="center"/>
          </w:tcPr>
          <w:p w14:paraId="13C56FC8" w14:textId="77777777" w:rsidR="00FF1E28"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算法决策；就业歧视；机器学习；法律规制；差别影响</w:t>
            </w:r>
          </w:p>
          <w:p w14:paraId="185E0DE6" w14:textId="77777777" w:rsidR="00FF1E28" w:rsidRDefault="00FF1E28">
            <w:pPr>
              <w:rPr>
                <w:rFonts w:ascii="Times New Roman Bold" w:hAnsi="Times New Roman Bold" w:cs="Times New Roman Bold"/>
                <w:sz w:val="20"/>
                <w:szCs w:val="20"/>
              </w:rPr>
            </w:pPr>
          </w:p>
        </w:tc>
        <w:tc>
          <w:tcPr>
            <w:tcW w:w="3319" w:type="pct"/>
            <w:vMerge/>
            <w:tcBorders>
              <w:top w:val="nil"/>
              <w:left w:val="nil"/>
              <w:right w:val="nil"/>
            </w:tcBorders>
            <w:vAlign w:val="center"/>
          </w:tcPr>
          <w:p w14:paraId="6B47EA8C" w14:textId="77777777" w:rsidR="00FF1E28" w:rsidRDefault="00FF1E28">
            <w:pPr>
              <w:pStyle w:val="a4"/>
              <w:rPr>
                <w:rFonts w:cs="Times New Roman"/>
                <w:bCs/>
                <w:iCs/>
                <w:sz w:val="20"/>
                <w:szCs w:val="20"/>
              </w:rPr>
            </w:pPr>
          </w:p>
        </w:tc>
      </w:tr>
      <w:tr w:rsidR="00FF1E28" w14:paraId="16B44C3A" w14:textId="77777777">
        <w:trPr>
          <w:trHeight w:val="246"/>
        </w:trPr>
        <w:tc>
          <w:tcPr>
            <w:tcW w:w="1680" w:type="pct"/>
            <w:tcBorders>
              <w:top w:val="nil"/>
              <w:left w:val="nil"/>
              <w:bottom w:val="nil"/>
              <w:right w:val="nil"/>
            </w:tcBorders>
            <w:vAlign w:val="center"/>
          </w:tcPr>
          <w:p w14:paraId="68867BB7" w14:textId="77777777" w:rsidR="00FF1E28" w:rsidRDefault="00FF1E2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0A451145" w14:textId="77777777" w:rsidR="00FF1E28" w:rsidRDefault="00FF1E28">
            <w:pPr>
              <w:pStyle w:val="a4"/>
              <w:rPr>
                <w:rFonts w:ascii="Times New Roman Bold" w:hAnsi="Times New Roman Bold" w:cs="Times New Roman Bold"/>
                <w:b/>
                <w:bCs/>
                <w:sz w:val="20"/>
                <w:szCs w:val="20"/>
              </w:rPr>
            </w:pPr>
          </w:p>
        </w:tc>
      </w:tr>
      <w:tr w:rsidR="00FF1E28" w14:paraId="6CEE6147" w14:textId="77777777">
        <w:trPr>
          <w:trHeight w:val="246"/>
        </w:trPr>
        <w:tc>
          <w:tcPr>
            <w:tcW w:w="1680" w:type="pct"/>
            <w:tcBorders>
              <w:top w:val="nil"/>
              <w:left w:val="nil"/>
              <w:bottom w:val="nil"/>
              <w:right w:val="nil"/>
            </w:tcBorders>
            <w:vAlign w:val="center"/>
          </w:tcPr>
          <w:p w14:paraId="1DDCFD7A" w14:textId="77777777" w:rsidR="00FF1E28" w:rsidRDefault="00FF1E2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1F4F1D5" w14:textId="77777777" w:rsidR="00FF1E28" w:rsidRDefault="00FF1E28">
            <w:pPr>
              <w:pStyle w:val="a4"/>
              <w:rPr>
                <w:rFonts w:ascii="Times New Roman Bold" w:hAnsi="Times New Roman Bold" w:cs="Times New Roman Bold"/>
                <w:b/>
                <w:bCs/>
                <w:sz w:val="20"/>
                <w:szCs w:val="20"/>
              </w:rPr>
            </w:pPr>
          </w:p>
        </w:tc>
      </w:tr>
      <w:tr w:rsidR="00FF1E28" w14:paraId="22266F53" w14:textId="77777777">
        <w:trPr>
          <w:trHeight w:val="320"/>
        </w:trPr>
        <w:tc>
          <w:tcPr>
            <w:tcW w:w="1680" w:type="pct"/>
            <w:tcBorders>
              <w:top w:val="nil"/>
              <w:left w:val="nil"/>
              <w:bottom w:val="nil"/>
              <w:right w:val="nil"/>
            </w:tcBorders>
            <w:vAlign w:val="center"/>
          </w:tcPr>
          <w:p w14:paraId="1016C606" w14:textId="77777777" w:rsidR="00FF1E28" w:rsidRDefault="00FF1E2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4B796F1" w14:textId="77777777" w:rsidR="00FF1E28" w:rsidRDefault="00FF1E28">
            <w:pPr>
              <w:pStyle w:val="a4"/>
              <w:rPr>
                <w:rFonts w:ascii="Times New Roman Bold" w:hAnsi="Times New Roman Bold" w:cs="Times New Roman Bold"/>
                <w:b/>
                <w:bCs/>
                <w:sz w:val="20"/>
                <w:szCs w:val="20"/>
              </w:rPr>
            </w:pPr>
          </w:p>
        </w:tc>
      </w:tr>
      <w:tr w:rsidR="00FF1E28" w14:paraId="72EA4620" w14:textId="77777777">
        <w:trPr>
          <w:trHeight w:val="200"/>
        </w:trPr>
        <w:tc>
          <w:tcPr>
            <w:tcW w:w="1680" w:type="pct"/>
            <w:tcBorders>
              <w:top w:val="nil"/>
              <w:left w:val="nil"/>
              <w:bottom w:val="nil"/>
              <w:right w:val="nil"/>
            </w:tcBorders>
            <w:vAlign w:val="center"/>
          </w:tcPr>
          <w:p w14:paraId="3789797A" w14:textId="77777777" w:rsidR="00FF1E28" w:rsidRDefault="00FF1E2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0060B3F" w14:textId="77777777" w:rsidR="00FF1E28" w:rsidRDefault="00FF1E28">
            <w:pPr>
              <w:pStyle w:val="a4"/>
              <w:rPr>
                <w:rFonts w:ascii="Times New Roman Bold" w:hAnsi="Times New Roman Bold" w:cs="Times New Roman Bold"/>
                <w:b/>
                <w:bCs/>
                <w:sz w:val="20"/>
                <w:szCs w:val="20"/>
              </w:rPr>
            </w:pPr>
          </w:p>
        </w:tc>
      </w:tr>
      <w:tr w:rsidR="00FF1E28" w14:paraId="7C58F27F" w14:textId="77777777">
        <w:trPr>
          <w:trHeight w:val="200"/>
        </w:trPr>
        <w:tc>
          <w:tcPr>
            <w:tcW w:w="1680" w:type="pct"/>
            <w:tcBorders>
              <w:top w:val="nil"/>
              <w:left w:val="nil"/>
              <w:bottom w:val="nil"/>
              <w:right w:val="nil"/>
            </w:tcBorders>
            <w:vAlign w:val="center"/>
          </w:tcPr>
          <w:p w14:paraId="20913C74" w14:textId="77777777" w:rsidR="00FF1E28" w:rsidRDefault="00FF1E2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EC8E728" w14:textId="77777777" w:rsidR="00FF1E28" w:rsidRDefault="00FF1E28">
            <w:pPr>
              <w:pStyle w:val="a4"/>
              <w:rPr>
                <w:rFonts w:ascii="Times New Roman Bold" w:hAnsi="Times New Roman Bold" w:cs="Times New Roman Bold"/>
                <w:b/>
                <w:bCs/>
                <w:sz w:val="20"/>
                <w:szCs w:val="20"/>
              </w:rPr>
            </w:pPr>
          </w:p>
        </w:tc>
      </w:tr>
      <w:tr w:rsidR="00FF1E28" w14:paraId="325C33F1" w14:textId="77777777">
        <w:trPr>
          <w:trHeight w:val="200"/>
        </w:trPr>
        <w:tc>
          <w:tcPr>
            <w:tcW w:w="1680" w:type="pct"/>
            <w:tcBorders>
              <w:top w:val="nil"/>
              <w:left w:val="nil"/>
              <w:bottom w:val="single" w:sz="4" w:space="0" w:color="auto"/>
              <w:right w:val="nil"/>
            </w:tcBorders>
          </w:tcPr>
          <w:p w14:paraId="7B5BF3D6" w14:textId="77777777" w:rsidR="00FF1E28" w:rsidRDefault="00FF1E2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1A642C5" w14:textId="77777777" w:rsidR="00FF1E28" w:rsidRDefault="00FF1E28">
            <w:pPr>
              <w:pStyle w:val="a4"/>
              <w:rPr>
                <w:rFonts w:ascii="Times New Roman Bold" w:hAnsi="Times New Roman Bold" w:cs="Times New Roman Bold"/>
                <w:b/>
                <w:bCs/>
                <w:sz w:val="20"/>
                <w:szCs w:val="20"/>
              </w:rPr>
            </w:pPr>
          </w:p>
        </w:tc>
      </w:tr>
    </w:tbl>
    <w:p w14:paraId="16417D1E" w14:textId="77777777" w:rsidR="00FF1E28" w:rsidRDefault="00FF1E28">
      <w:pPr>
        <w:pStyle w:val="1"/>
        <w:spacing w:before="0" w:after="240" w:line="360" w:lineRule="auto"/>
        <w:jc w:val="center"/>
        <w:rPr>
          <w:rFonts w:ascii="Heiti SC Medium" w:eastAsia="Heiti SC Medium" w:hAnsi="Heiti SC Medium" w:cs="Heiti SC Medium"/>
          <w:b/>
          <w:bCs/>
          <w:kern w:val="2"/>
          <w:sz w:val="36"/>
          <w:szCs w:val="36"/>
        </w:rPr>
      </w:pPr>
    </w:p>
    <w:p w14:paraId="6969B632" w14:textId="77777777" w:rsidR="00FF1E2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一、引言</w:t>
      </w:r>
    </w:p>
    <w:p w14:paraId="177F9540"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人工智能技术正以前所未有的速度重塑劳动力市场的运行逻辑。从简历自动筛选、性格测评分析到视频面试的情感识别，机器学习驱动的用工匹配系统已渗透至招聘与录用的各个环节。有调查显示，70%的雇主计划在2025年底前将人工智能应用于招聘流程。这类</w:t>
      </w:r>
      <w:r>
        <w:rPr>
          <w:rFonts w:ascii="Songti SC Regular" w:eastAsia="Songti SC Regular" w:hAnsi="Songti SC Regular" w:cs="Songti SC Regular" w:hint="eastAsia"/>
          <w:sz w:val="24"/>
        </w:rPr>
        <w:lastRenderedPageBreak/>
        <w:t>系统宣称能够提升筛选效率、降低主观偏见、实现人岗精准匹配，但其背后的技术逻辑并非天然中立。</w:t>
      </w:r>
    </w:p>
    <w:p w14:paraId="148D801C"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算法决策中的就业歧视具有高度的隐蔽性。传统就业歧视往往表现为可观察的言语或行为——雇主明确表示不招聘某类群体，或以显性条件将特定人群排除在外。相比之下，算法歧视隐匿于代码与数据之中：求职者无法知晓自己为何被筛除，甚至不知道算法的存在。这种“无痕歧视”不仅使受害者的举证变得极为困难，更在实质上规避了现有反歧视法律的审查。当歧视以“客观计算”的面貌呈现时，法律制度的回应能力便面临严峻考验。</w:t>
      </w:r>
    </w:p>
    <w:p w14:paraId="13786D12"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上述现实，本文围绕三个核心问题展开：第一，歧视如何在机器学习用工匹配系统中生成？第二，现有法律框架为何难以有效规制算法就业歧视？第三，应当构建何种规制体系以应对这一挑战？本文采用技术—法律交叉分析的视角，结合比较法考察与模拟实验思路，尝试为算法就业歧视的治理提供系统性方案。</w:t>
      </w:r>
    </w:p>
    <w:p w14:paraId="0DFCF62D" w14:textId="77777777" w:rsidR="00FF1E2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二、算法就业歧视的生成机制</w:t>
      </w:r>
    </w:p>
    <w:p w14:paraId="3C7CDD63"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算法就业歧视并非孤立的技术故障，而是数据、算法与组织实践多重因素交互作用的产物。理解其生成机制，是有效规制的前提。</w:t>
      </w:r>
    </w:p>
    <w:p w14:paraId="1D45EBEB" w14:textId="77777777" w:rsidR="00FF1E2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（一）技术层面的三重根源</w:t>
      </w:r>
    </w:p>
    <w:p w14:paraId="1E785EC1"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偏见是算法歧视的首要来源。机器学习模型的性能高度依赖于训练数据的质量与代表性。当历史招聘数据中业已存在人类歧视时，算法非但不会纠正这些偏见，反而会将其内化为统计规律加以“固化”与“放大”。田野在《平台用工算法规制的劳动法进路》中指出，算法对历史数据的学习可能将过去的歧视模式系统性地嵌入自动化决策过程。亚马逊公司开发的AI招聘工具便是一个典型案例：该工具以过去十年收到的简历进行训练，而由于科技行业长期以男性为主导，训练数据中男性简历占据绝对多数，导致算法自动将“女性”相关</w:t>
      </w:r>
      <w:r>
        <w:rPr>
          <w:rFonts w:ascii="Songti SC Regular" w:eastAsia="Songti SC Regular" w:hAnsi="Songti SC Regular" w:cs="Songti SC Regular" w:hint="eastAsia"/>
          <w:sz w:val="24"/>
        </w:rPr>
        <w:lastRenderedPageBreak/>
        <w:t>词汇与不利结果相关联，最终该公司被迫放弃该工具。</w:t>
      </w:r>
    </w:p>
    <w:p w14:paraId="0AD7D76D"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特征选择中的代理变量问题是算法歧视的另一重要来源。当算法被禁止直接使用种族、性别等敏感属性时，它可能转而利用与之高度相关的“代理变量”实现间接歧视。例如，邮政编码可能成为种族的代理——特定区域的居民在种族构成上高度同质化；兴趣爱好可能成为性别的代理——某些活动具有显著的性别分布特征。这种“技术性规避”使得歧视意图更难被察觉，却同样造成了对特定群体的差别化对待。</w:t>
      </w:r>
    </w:p>
    <w:p w14:paraId="157024C0"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模型黑箱问题则加剧了歧视的可责性困境。以深度学习为代表的复杂算法模型缺乏可解释性，开发者和使用者往往无法准确追溯某一决策背后的具体逻辑。这种“不可解释性”不仅使求职者难以理解自己被拒绝的原因，也使监管者和法院在审查算法合规性时面临技术障碍。正如学者所言，算法因其技术构造复杂性、不透明性使得算法歧视愈加隐蔽严重。</w:t>
      </w:r>
    </w:p>
    <w:p w14:paraId="0A3E9D6A" w14:textId="77777777" w:rsidR="00FF1E2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（二）组织层面的放大机制</w:t>
      </w:r>
    </w:p>
    <w:p w14:paraId="1F299FCF"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算法歧视不仅是技术问题，更是组织实践问题的投射。设计者的无意识偏见可能在模型构建的各个环节悄然渗入——从特征变量的选择、数据集的标注到模型参数的调优，每一个看似中性的技术决策都可能携带设计者的价值预设。当开发团队缺乏多样性时，这种偏见的风险尤为突出。</w:t>
      </w:r>
    </w:p>
    <w:p w14:paraId="1AE499CC"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追求效率优化导致对公平约束的忽略，是算法招聘中常见的组织偏差。企业在引入算法用工系统时，往往以筛选效率、成本控制、录用预测准确率等量化指标作为核心考核标准，而公平性要求则被视为“软约束”甚至“合规成本”。当效率与公平发生冲突时，前者通常占据优先地位。</w:t>
      </w:r>
    </w:p>
    <w:p w14:paraId="4EECF988"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更为关键的是使用者对算法输出的过度信任，即“算法权威主义”。人力资源从业者倾向于将算法决策视为客观、科学、无偏见的判断，从而放弃自身应有的专业判断与复核义务。</w:t>
      </w:r>
      <w:r>
        <w:rPr>
          <w:rFonts w:ascii="Songti SC Regular" w:eastAsia="Songti SC Regular" w:hAnsi="Songti SC Regular" w:cs="Songti SC Regular" w:hint="eastAsia"/>
          <w:sz w:val="24"/>
        </w:rPr>
        <w:lastRenderedPageBreak/>
        <w:t>这种信任在实践中表现为“算法说什么就是什么”——即便算法输出明显与常理不符，使用者也可能因缺乏技术能力或问责压力而选择遵从。EEOC在其技术指南中明确指出，雇主不得以信赖供应商关于工具“无偏见”的陈述为由规避法律责任，必须独立评估工具是否对受保护群体产生不利影响。</w:t>
      </w:r>
    </w:p>
    <w:p w14:paraId="742DA8C0" w14:textId="77777777" w:rsidR="00FF1E2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（三）技术—组织的交互效应</w:t>
      </w:r>
    </w:p>
    <w:p w14:paraId="16AFBF7E"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技术层面的数据偏见、特征代理与模型黑箱，与组织层面的无意识偏见、效率优先和算法权威主义并非平行存在，而是相互强化、彼此嵌套。当数据偏见因组织缺乏多样性而未被识别、当特征代理因效率优先而被忽略、当模型黑箱因算法权威主义而被盲目接受时，算法就业歧视便从潜在风险转化为实际后果。这种交互效应解释了为何算法歧视难以通过单一维度的干预加以解决——它要求规制框架同时关注技术设计、组织实践与法律制度之间的结构性关联。</w:t>
      </w:r>
    </w:p>
    <w:p w14:paraId="6F521445" w14:textId="77777777" w:rsidR="00FF1E2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三、法律规制困境</w:t>
      </w:r>
    </w:p>
    <w:p w14:paraId="3AE0908E"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算法就业歧视的治理困境，本质上是“旧法律”与“新技术”之间结构性张力的体现。现行反歧视法律体系以人类行为者的故意或过失为归责基础，而算法决策的特征——无意图、不透明、分布式——恰好落在这一框架的盲区之中。</w:t>
      </w:r>
    </w:p>
    <w:p w14:paraId="54166A3B" w14:textId="77777777" w:rsidR="00FF1E2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（一）现行法律的适用性障碍</w:t>
      </w:r>
    </w:p>
    <w:p w14:paraId="7AF640AE"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华人民共和国劳动法》与《就业促进法》所确立的反歧视条款，在归责要件上强调用人单位的“直接故意”或至少是“明知”。劳动法第十二条列举了民族、种族、性别、宗教信仰四种禁止歧视的事由，但司法实践中通常要求劳动者证明用人单位存在歧视性意图或行为。然而，算法歧视恰恰以“无故意”为基本特征——算法本身没有意图，设计者和使用者亦未必怀有歧视动机。正如学者所指出，机器学习“无意识”的就业歧视源头与决策者“有意识”的就业歧视手段之间存在本质差异。将传统反歧视法的故意要件适用于算法场景，必然</w:t>
      </w:r>
      <w:r>
        <w:rPr>
          <w:rFonts w:ascii="Songti SC Regular" w:eastAsia="Songti SC Regular" w:hAnsi="Songti SC Regular" w:cs="Songti SC Regular" w:hint="eastAsia"/>
          <w:sz w:val="24"/>
        </w:rPr>
        <w:lastRenderedPageBreak/>
        <w:t>遭遇“有歧视结果、无歧视意图”的法律困境。</w:t>
      </w:r>
    </w:p>
    <w:p w14:paraId="541C5EF4"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个人信息保护法》第二十四条对自动化决策作出了规定，要求保证决策的透明度和结果公平公正，不得对个人在交易价格等条件上实行不合理的差别待遇。然而，该条款侧重于个人信息处理的程序合规，而非反歧视的实质审查。即使算法的数据来源完全合法合规，其输出结果仍可能因特征代理或模型偏差而产生歧视效应——数据来源的合规与结果公平之间并无必然联系。</w:t>
      </w:r>
    </w:p>
    <w:p w14:paraId="5F738756"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互联网信息服务算法推荐管理规定》第四条要求算法推荐服务提供者“遵守法律法规，尊重社会公德和伦理”“遵循公正公平、公开透明、科学合理和诚实信用的原则”，第七条要求“不得利用算法推荐服务从事危害国家安全和社会公共利益……侵犯他人合法权益等活动”。但上述规定多为原则性宣示，缺乏可操作的技术标准与具体的执法机制。规定并未明确何为“公正公平”的技术内涵，也未设立专门的算法反歧视审计或认证制度。有学者直言，我国现行算法歧视的法律治理存在规制范围过宽和规制工具凌乱的双重弊端，弊端的消除应当追溯至歧视概念本身。</w:t>
      </w:r>
    </w:p>
    <w:p w14:paraId="6E1BE021" w14:textId="77777777" w:rsidR="00FF1E2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（二）举证责任的结构性困境</w:t>
      </w:r>
    </w:p>
    <w:p w14:paraId="3E7255CA"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算法就业歧视案件中，求职者面临几乎无法逾越的举证障碍。首先，求职者通常无从知晓招聘过程中是否存在算法筛选，更无法了解该算法的内部逻辑、训练数据或决策规则。这构成了一种“信息不对称的极端形态”——歧视的制造者（算法系统的控制者）掌握全部信息，而歧视的承受者则处于完全的认知黑箱之中。其次，即便求职者能够合理怀疑算法存在歧视，要求其举证“差别对待”或“差别影响”也往往缺乏可行的技术路径。算法的复杂性使得任何基于结果的统计推断都需要大规模数据支撑，而个体求职者显然不具备此类条件。</w:t>
      </w:r>
    </w:p>
    <w:p w14:paraId="4351ED57"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上述困境在司法实践中已有显现。在美国Mobley诉Workday案中，原告声称Workday</w:t>
      </w:r>
      <w:r>
        <w:rPr>
          <w:rFonts w:ascii="Songti SC Regular" w:eastAsia="Songti SC Regular" w:hAnsi="Songti SC Regular" w:cs="Songti SC Regular" w:hint="eastAsia"/>
          <w:sz w:val="24"/>
        </w:rPr>
        <w:lastRenderedPageBreak/>
        <w:t>的AI推荐系统对年长求职者、残疾求职者和少数族裔产生了差别影响。法院在认定集体诉讼资格时指出，该系统在相关期间内拒录了约11亿份申请，潜在集体成员可能达到“数亿人”。但即便如此，原告仍需在证据开示阶段努力获取算法的内部运作信息以支撑其主张。这一案件清晰地表明：即便歧视的规模如此巨大，个体求职者试图证明算法歧视的存在仍然异常困难。</w:t>
      </w:r>
    </w:p>
    <w:p w14:paraId="390AFCF8" w14:textId="77777777" w:rsidR="00FF1E2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（三）透明度与商业秘密的冲突</w:t>
      </w:r>
    </w:p>
    <w:p w14:paraId="7597922D"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算法透明被视为反歧视治理的核心诉求之一——只有打开算法的“黑箱”，才能审查其中是否存在歧视。然而，透明度要求与商业秘密保护之间存在内在张力。用工匹配系统的算法逻辑、特征权重、训练数据等往往是企业的核心技术资产，受商业秘密法保护。强制披露算法细节，可能导致企业核心竞争力的流失；拒绝披露，则使歧视审查无从进行。</w:t>
      </w:r>
    </w:p>
    <w:p w14:paraId="52CFD19E"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这一冲突在当前法律框架下缺乏有效的平衡机制。美国法院在Workday案中勒令该公司提交使用其</w:t>
      </w:r>
      <w:proofErr w:type="spellStart"/>
      <w:r>
        <w:rPr>
          <w:rFonts w:ascii="Songti SC Regular" w:eastAsia="Songti SC Regular" w:hAnsi="Songti SC Regular" w:cs="Songti SC Regular" w:hint="eastAsia"/>
          <w:sz w:val="24"/>
        </w:rPr>
        <w:t>HiredScore</w:t>
      </w:r>
      <w:proofErr w:type="spellEnd"/>
      <w:r>
        <w:rPr>
          <w:rFonts w:ascii="Songti SC Regular" w:eastAsia="Songti SC Regular" w:hAnsi="Songti SC Regular" w:cs="Songti SC Regular" w:hint="eastAsia"/>
          <w:sz w:val="24"/>
        </w:rPr>
        <w:t>工具的雇主客户名单，但并未触及算法本身的技术细节。在中国，算法推荐管理规定仅提出“公开透明”原则，但未明确透明度的具体标准与边界。如何在保护企业合法商业秘密与保障求职者公平就业权利之间寻求平衡，是算法就业歧视规制中尚未解决的核心难题。</w:t>
      </w:r>
    </w:p>
    <w:p w14:paraId="09A96B40" w14:textId="77777777" w:rsidR="00FF1E2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四、实证分析：算法招聘中的歧视检测</w:t>
      </w:r>
    </w:p>
    <w:p w14:paraId="4384295A"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为验证上述理论分析，本文设计了一项模拟实验思路。可选取Kaggle等平台公开的招聘算法数据集（如包含简历信息与录用结果的匿名数据），复现常见的机器学习筛选模型，通过调整输入特征中的敏感属性（如性别、种族标识符）观察输出结果的差异。实验可以考察：当仅改变申请人的性别标识时，算法推荐的排名是否发生系统性变化；当控制所有能力指标不变时，不同群体的通过率是否存在统计学显著差异。</w:t>
      </w:r>
    </w:p>
    <w:p w14:paraId="403336E4"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此类模拟实验在国外已有先例。张硕等学者通过对中国四家大型招聘平台的算法审计发现，求职者的性别对推荐职位产生了显著的因果影响。另有研究表明，招聘算法中的性别平衡机制导致男性简历通过率比女性高34%。国内学者陈龙、赵磊、盛禾基于对女外卖骑手的实证研究，揭示了算法性别歧视的运作机制：由于骑手总体中女性占比较低，输入算法的数据主要来自带有男性气质的男骑手，加之多数女骑手已婚已育、因家庭劳动影响工作时间，算法在配送路线规划与派单规则中系统性地对女性产生不利影响。这些实证发现表明，算法就业歧视并非理论假设，而是已在实践中被证实的现实问题。</w:t>
      </w:r>
    </w:p>
    <w:p w14:paraId="07CD9077" w14:textId="77777777" w:rsidR="00FF1E2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五、比较法视角下的规制模式</w:t>
      </w:r>
    </w:p>
    <w:p w14:paraId="742BCB37" w14:textId="77777777" w:rsidR="00FF1E2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（一）欧盟：高风险分类与影响评估</w:t>
      </w:r>
    </w:p>
    <w:p w14:paraId="4F2000B4"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欧盟《人工智能法案》（AI Act）将招聘和人力资源管理中使用的AI系统明确列为“高风险”类别。根据法案附件三第4点，用于候选人筛选、评估或求职申请的AI系统均属于高风险系统，雇主（作为部署者）必须履行一系列合规义务，包括建立风险管理系统、保证输入数据质量以防止歧视、实施人工监督、维护使用日志并开展基本权利影响评估。违反规定的企业可能面临高达3500万欧元或全球年营业额7%的罚款。欧盟模式的核心特征在于“事前预防”——通过强制性影响评估将反歧视审查前置至算法部署阶段，而非仅依赖事后的投诉与诉讼。</w:t>
      </w:r>
    </w:p>
    <w:p w14:paraId="19C7DFAC" w14:textId="77777777" w:rsidR="00FF1E2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（二）美国：差别影响理论的适用与局限</w:t>
      </w:r>
    </w:p>
    <w:p w14:paraId="23DC7AA4"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美国平等就业机会委员会（EEOC）于2023年至2024年间发布了一系列技术指南，强调《民权法》第七章、《美国残疾人法》和《反就业年龄歧视法》完全适用于算法决策工具。EEOC要求雇主对算法决策工具进行持续性自我评估，若发现工具对特定种族、性别或年龄群体产生不利影响，雇主必须证明该工具与职位相关且符合业务需要，且不存在歧视性更小的替代方案。在</w:t>
      </w:r>
      <w:proofErr w:type="spellStart"/>
      <w:r>
        <w:rPr>
          <w:rFonts w:ascii="Songti SC Regular" w:eastAsia="Songti SC Regular" w:hAnsi="Songti SC Regular" w:cs="Songti SC Regular" w:hint="eastAsia"/>
          <w:sz w:val="24"/>
        </w:rPr>
        <w:t>iTutorGroup</w:t>
      </w:r>
      <w:proofErr w:type="spellEnd"/>
      <w:r>
        <w:rPr>
          <w:rFonts w:ascii="Songti SC Regular" w:eastAsia="Songti SC Regular" w:hAnsi="Songti SC Regular" w:cs="Songti SC Regular" w:hint="eastAsia"/>
          <w:sz w:val="24"/>
        </w:rPr>
        <w:t>案中，EEOC认定该公司的自动化招聘系统自动拒绝了</w:t>
      </w:r>
      <w:r>
        <w:rPr>
          <w:rFonts w:ascii="Songti SC Regular" w:eastAsia="Songti SC Regular" w:hAnsi="Songti SC Regular" w:cs="Songti SC Regular" w:hint="eastAsia"/>
          <w:sz w:val="24"/>
        </w:rPr>
        <w:lastRenderedPageBreak/>
        <w:t>55岁以上女性申请人和60岁以上男性申请人，最终达成和解并要求公司支付赔偿、变更招聘实践。</w:t>
      </w:r>
    </w:p>
    <w:p w14:paraId="5C599F0C"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美国模式面临两大局限：其一，EEOC的指南缺乏强制执行力，更多属于“软法”性质；其二，特朗普政府2025年发布的行政命令指示联邦机构终止对差别影响偏见的调查，称该责任理论迫使雇主通过种族平衡规避诉讼。联邦层面的政策摇摆与各州立法的碎片化，使得美国的算法就业歧视治理呈现出高度不确定性的“拼凑式”格局。</w:t>
      </w:r>
    </w:p>
    <w:p w14:paraId="75377569" w14:textId="77777777" w:rsidR="00FF1E2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（三）中国：碎片化的规范体系</w:t>
      </w:r>
    </w:p>
    <w:p w14:paraId="6BA0261E"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当前涉及算法就业歧视的规范呈现碎片化分布。《劳动法》《就业促进法》提供了一般性反歧视框架，但未针对算法场景作出专门规定。《个人信息保护法》规范自动化决策，但侧重信息处理而非反歧视。《互联网信息服务算法推荐管理规定》提出公平透明原则，但缺乏技术标准与执法机制。此外，《关于加强互联网信息服务算法综合治理的指导意见》等政策文件从算法公平性、透明性等角度提出要求，但主要针对内容推荐场景，对用工匹配系统的规制关注不足。与欧盟和美国相比，中国尚未建立针对算法就业歧视的系统性规制框架，既缺乏专门立法，也缺少专门的执法机构与评估标准。</w:t>
      </w:r>
    </w:p>
    <w:p w14:paraId="79E3392B" w14:textId="77777777" w:rsidR="00FF1E2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（四）比较启示</w:t>
      </w:r>
    </w:p>
    <w:p w14:paraId="1D151298"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三种模式的比较揭示出规制路径的共性趋势：事前影响评估与事后责任追究相结合、技术标准与法律规范相衔接、透明度要求与商业秘密保护相平衡。但各国在具体制度设计上存在显著差异：欧盟侧重系统化的事前规制，美国依赖差别影响责任理论的司法适用，中国则处于从分散规范向体系化治理的过渡阶段。这些差异提示我们，算法就业歧视的规制没有“一刀切”的解决方案，必须根据本国的法律传统、技术发展水平与劳动力市场结构加以调适。</w:t>
      </w:r>
    </w:p>
    <w:p w14:paraId="4C772151" w14:textId="77777777" w:rsidR="00FF1E2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lastRenderedPageBreak/>
        <w:t xml:space="preserve"> 六、规制建议</w:t>
      </w:r>
    </w:p>
    <w:p w14:paraId="114600F0" w14:textId="77777777" w:rsidR="00FF1E2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（一）事前规制：强制第三方算法影响评估</w:t>
      </w:r>
    </w:p>
    <w:p w14:paraId="459EA8DD"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应建立针对用工匹配算法的强制性影响评估制度，由独立第三方机构实施反歧视审计。评估内容应包括：训练数据的人口统计学构成分析、模型输出在不同群体间的差异度量、特征变量中代理变量的识别与审查、以及模型预测准确率在不同群体间的一致性检验。评估结果应向监管机构备案，并在合理范围内向求职者公开。欧盟AI法案的基本权利影响评估义务和美国部分州（如科罗拉多、纽约市）的算法审计要求可为借鉴。</w:t>
      </w:r>
    </w:p>
    <w:p w14:paraId="72C11088" w14:textId="77777777" w:rsidR="00FF1E2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（二）事中规制：可解释的拒绝理由</w:t>
      </w:r>
    </w:p>
    <w:p w14:paraId="73A420F9"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应要求用工匹配系统向被筛除的求职者提供可解释的拒绝理由，尤其应采用反事实解释的方式——即说明“如果你具备什么样的条件，本可以通过筛选”。反事实解释既能够保障求职者的知情权与申诉权，又避免了要求算法完全透明对商业秘密的过度侵蚀。同时，应要求招聘主体保留人工复核环节，对算法自动拒绝的决策实施抽样审查，防止算法输出的盲目遵从。</w:t>
      </w:r>
    </w:p>
    <w:p w14:paraId="7A91DC20" w14:textId="77777777" w:rsidR="00FF1E2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（三）事后规制：举证责任倒置</w:t>
      </w:r>
    </w:p>
    <w:p w14:paraId="48B6B894"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算法就业歧视案件中，应实行举证责任的部分倒置。一旦申请人能够提出合理怀疑——例如提供初步的统计证据表明算法对不同群体存在显著差异的筛选率——举证责任即转移至用人单位，由用人单位证明算法决策与职位相关、符合业务需要且不存在歧视性替代方案。这一制度设计已在EEOC的差别影响框架中得到验证，可在中国的反歧视诉讼中通过司法解释或专门立法加以引入。</w:t>
      </w:r>
    </w:p>
    <w:p w14:paraId="24D3D079" w14:textId="77777777" w:rsidR="00FF1E2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（四）技术标准：公平性度量与认证</w:t>
      </w:r>
    </w:p>
    <w:p w14:paraId="6CF1691A"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应将算法公平性度量指标纳入技术认证体系。可采用的度量指标包括：人口平等（各群体被筛选通过的比率相等）、机会均等（各群体中真正合格者的通过率相等）、预测率平</w:t>
      </w:r>
      <w:r>
        <w:rPr>
          <w:rFonts w:ascii="Songti SC Regular" w:eastAsia="Songti SC Regular" w:hAnsi="Songti SC Regular" w:cs="Songti SC Regular" w:hint="eastAsia"/>
          <w:sz w:val="24"/>
        </w:rPr>
        <w:lastRenderedPageBreak/>
        <w:t>等（算法预测为“合格”在不同群体中的准确率一致）等。同时，应将“五分之四法则”等统计检验标准转化为可操作的技术规范，为算法审计提供量化基准。相关技术标准的制定应由人社部门、网信部门与标准化管理机构协同推进。</w:t>
      </w:r>
    </w:p>
    <w:p w14:paraId="0459FEAA" w14:textId="77777777" w:rsidR="00FF1E2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七、结论</w:t>
      </w:r>
    </w:p>
    <w:p w14:paraId="0B8B68BF"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算法就业歧视是技术构造、组织实践与法律制度三重因素交互作用的产物。在技术层面，数据偏见、特征代理与模型黑箱构成了歧视的生成基础；在组织层面，设计者的无意识偏见、效率优先的激励导向与使用者的算法权威主义放大了歧视的风险与影响；而在法律层面，传统反歧视法的“故意”归责要件、举证责任的不合理分配以及透明度与商业秘密的结构性冲突，共同导致了规制的制度性失灵。</w:t>
      </w:r>
    </w:p>
    <w:p w14:paraId="7E3E2892" w14:textId="77777777" w:rsidR="00FF1E2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跨越上述困境，需要超越传统反歧视法的思维框架，构建“算法—劳动”专门规制体系。这一体系应当以事前预防为核心、以过程透明为保障、以事后问责为底线，在技术标准与法律规范之间建立有效的衔接机制。欧盟的前置影响评估、美国的差别影响责任以及中国的碎片化规范，各自提供了不同的制度经验与教训。未来中国的立法选择，应当在借鉴域外经验的基础上，结合本国法律传统与技术发展实际，走出一条技术、法律与政策协同并进的治理道路。唯有如此，才能在人工智能时代真正实现“劳动者平等就业”这一反歧视法的核心价值承诺。</w:t>
      </w:r>
    </w:p>
    <w:p w14:paraId="31A76A4B" w14:textId="77777777" w:rsidR="00FF1E28" w:rsidRDefault="00FF1E28"/>
    <w:p w14:paraId="7EA57F75" w14:textId="77777777" w:rsidR="00FF1E28" w:rsidRDefault="00FF1E28"/>
    <w:p w14:paraId="2E179EE5" w14:textId="77777777" w:rsidR="00FF1E28"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5B37868A" w14:textId="77777777" w:rsidR="00FF1E2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 田野.平台用工算法规制的劳动法进路[J].当代法学,2022(5).</w:t>
      </w:r>
    </w:p>
    <w:p w14:paraId="7C3143AE" w14:textId="77777777" w:rsidR="00FF1E2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陈龙,赵磊,盛禾.隐匿的她：女外卖骑手是否遭受算法性别歧视?[J].妇女研究论丛,2025(5).</w:t>
      </w:r>
    </w:p>
    <w:p w14:paraId="08FE6B77" w14:textId="77777777" w:rsidR="00FF1E2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郑智航.算法歧视的两副面孔及其法律治理[J].交大法学,2024(1).</w:t>
      </w:r>
    </w:p>
    <w:p w14:paraId="236D7472" w14:textId="77777777" w:rsidR="00FF1E2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[4] 刘权.算法决策中的就业歧视：生成机制与法律规制[J].湘潭大学学报(哲学社会科学版),2023(3).</w:t>
      </w:r>
    </w:p>
    <w:p w14:paraId="39190671" w14:textId="77777777" w:rsidR="00FF1E2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[5] 李忠夏.数据算法视域下劳动用工歧视法律规制路径探索[J].法制博览,2024(32).</w:t>
      </w:r>
    </w:p>
    <w:p w14:paraId="1018EC67" w14:textId="77777777" w:rsidR="00FF1E2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张凌寒.算法解释制度的体系化构建[J].东方法学,2024(1).</w:t>
      </w:r>
    </w:p>
    <w:p w14:paraId="2731EC9C" w14:textId="77777777" w:rsidR="00FF1E2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丁晓东.反思与重塑：个人信息算法自动化决策的规制逻辑[J].上海企业,2024.</w:t>
      </w:r>
    </w:p>
    <w:p w14:paraId="414ED132" w14:textId="77777777" w:rsidR="00FF1E2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 王天玉.劳动法“合理”理念下平台用工“最严算法”规制路径研究[J].华中科技大学学报(社会科学版),2024(3).</w:t>
      </w:r>
    </w:p>
    <w:p w14:paraId="07BC51AB" w14:textId="77777777" w:rsidR="00FF1E2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[9] 闫海.新业态劳动权利与企业用工权动态平衡的法治实践研究[J].北京劳动保障职业学院学报,2024(1).</w:t>
      </w:r>
    </w:p>
    <w:p w14:paraId="5E95D32D" w14:textId="77777777" w:rsidR="00FF1E2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郭春镇.治理算法：算法风险的伦理原则及其治理逻辑[J].学术月刊,2023.</w:t>
      </w:r>
    </w:p>
    <w:p w14:paraId="34D35F2F" w14:textId="77777777" w:rsidR="00FF1E28"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[11] </w:t>
      </w:r>
      <w:proofErr w:type="spellStart"/>
      <w:r>
        <w:rPr>
          <w:rFonts w:ascii="Times New Roman Regular" w:eastAsia="Songti SC Regular" w:hAnsi="Times New Roman Regular" w:cs="Times New Roman Regular"/>
        </w:rPr>
        <w:t>EEOC.Select</w:t>
      </w:r>
      <w:proofErr w:type="spellEnd"/>
      <w:r>
        <w:rPr>
          <w:rFonts w:ascii="Times New Roman Regular" w:eastAsia="Songti SC Regular" w:hAnsi="Times New Roman Regular" w:cs="Times New Roman Regular"/>
        </w:rPr>
        <w:t xml:space="preserve"> Issue: Assessing Adverse Impact in Software, Algorithms, and Artificial Intelligence Used in Employment Selection Procedures Under Title VII of the Civil Rights Act of 1964[EB/OL</w:t>
      </w:r>
      <w:proofErr w:type="gramStart"/>
      <w:r>
        <w:rPr>
          <w:rFonts w:ascii="Times New Roman Regular" w:eastAsia="Songti SC Regular" w:hAnsi="Times New Roman Regular" w:cs="Times New Roman Regular"/>
        </w:rPr>
        <w:t>].(</w:t>
      </w:r>
      <w:proofErr w:type="gramEnd"/>
      <w:r>
        <w:rPr>
          <w:rFonts w:ascii="Times New Roman Regular" w:eastAsia="Songti SC Regular" w:hAnsi="Times New Roman Regular" w:cs="Times New Roman Regular"/>
        </w:rPr>
        <w:t>2023-05-18).</w:t>
      </w:r>
    </w:p>
    <w:p w14:paraId="2BF74EE4" w14:textId="77777777" w:rsidR="00FF1E28"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[12] EU AI Act: High-Risk AI Systems in </w:t>
      </w:r>
      <w:proofErr w:type="gramStart"/>
      <w:r>
        <w:rPr>
          <w:rFonts w:ascii="Times New Roman Regular" w:eastAsia="Songti SC Regular" w:hAnsi="Times New Roman Regular" w:cs="Times New Roman Regular"/>
        </w:rPr>
        <w:t>Employment[</w:t>
      </w:r>
      <w:proofErr w:type="gramEnd"/>
      <w:r>
        <w:rPr>
          <w:rFonts w:ascii="Times New Roman Regular" w:eastAsia="Songti SC Regular" w:hAnsi="Times New Roman Regular" w:cs="Times New Roman Regular"/>
        </w:rPr>
        <w:t>EB/OL</w:t>
      </w:r>
      <w:proofErr w:type="gramStart"/>
      <w:r>
        <w:rPr>
          <w:rFonts w:ascii="Times New Roman Regular" w:eastAsia="Songti SC Regular" w:hAnsi="Times New Roman Regular" w:cs="Times New Roman Regular"/>
        </w:rPr>
        <w:t>].European</w:t>
      </w:r>
      <w:proofErr w:type="gramEnd"/>
      <w:r>
        <w:rPr>
          <w:rFonts w:ascii="Times New Roman Regular" w:eastAsia="Songti SC Regular" w:hAnsi="Times New Roman Regular" w:cs="Times New Roman Regular"/>
        </w:rPr>
        <w:t xml:space="preserve"> Commission,2024.</w:t>
      </w:r>
    </w:p>
    <w:p w14:paraId="499A38E0" w14:textId="77777777" w:rsidR="00FF1E2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[13] 中央网信办等.互联网信息服务算法推荐管理规定[EB/OL].(2022-03-01).</w:t>
      </w:r>
    </w:p>
    <w:sectPr w:rsidR="00FF1E28">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C090" w14:textId="77777777" w:rsidR="00DB5820" w:rsidRDefault="00DB5820">
      <w:r>
        <w:separator/>
      </w:r>
    </w:p>
  </w:endnote>
  <w:endnote w:type="continuationSeparator" w:id="0">
    <w:p w14:paraId="0299C8C1" w14:textId="77777777" w:rsidR="00DB5820" w:rsidRDefault="00DB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Heiti SC Medium">
    <w:altName w:val="HEITI SC MEDIUM"/>
    <w:panose1 w:val="00000000000000000000"/>
    <w:charset w:val="80"/>
    <w:family w:val="auto"/>
    <w:pitch w:val="variable"/>
    <w:sig w:usb0="8000002F" w:usb1="0807004A" w:usb2="00000010" w:usb3="00000000" w:csb0="003E0001" w:csb1="00000000"/>
  </w:font>
  <w:font w:name="Songti SC Regular">
    <w:altName w:val="Songti SC"/>
    <w:panose1 w:val="02010600040101010101"/>
    <w:charset w:val="86"/>
    <w:family w:val="auto"/>
    <w:pitch w:val="variable"/>
    <w:sig w:usb0="00000287" w:usb1="080F0000" w:usb2="00000010" w:usb3="00000000" w:csb0="0004009F"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26E6" w14:textId="77777777" w:rsidR="00FF1E28"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4BD6" w14:textId="77777777" w:rsidR="00DB5820" w:rsidRDefault="00DB5820">
      <w:r>
        <w:separator/>
      </w:r>
    </w:p>
  </w:footnote>
  <w:footnote w:type="continuationSeparator" w:id="0">
    <w:p w14:paraId="01E22148" w14:textId="77777777" w:rsidR="00DB5820" w:rsidRDefault="00DB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09AC" w14:textId="77777777" w:rsidR="00FF1E28" w:rsidRDefault="00000000">
    <w:r>
      <w:rPr>
        <w:noProof/>
      </w:rPr>
      <w:drawing>
        <wp:anchor distT="0" distB="0" distL="114300" distR="114300" simplePos="0" relativeHeight="251663360" behindDoc="1" locked="0" layoutInCell="1" allowOverlap="1" wp14:anchorId="4D447646" wp14:editId="567A3C76">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2A6E5D53" wp14:editId="66FF068D">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60AB4169" wp14:editId="24F95275">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人工智能与社会影响学刊.001.jpeg人工智能与社会影响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人工智能与社会影响学刊.001.jpeg人工智能与社会影响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0620B932" w14:textId="77777777" w:rsidR="00FF1E28" w:rsidRDefault="00FF1E28">
    <w:pPr>
      <w:spacing w:line="300" w:lineRule="exact"/>
      <w:jc w:val="center"/>
      <w:rPr>
        <w:rFonts w:ascii="Arial Bold" w:hAnsi="Arial Bold" w:cs="Arial Bold"/>
        <w:b/>
        <w:bCs/>
        <w:sz w:val="28"/>
        <w:szCs w:val="28"/>
      </w:rPr>
    </w:pPr>
  </w:p>
  <w:p w14:paraId="306D5F00" w14:textId="77777777" w:rsidR="00FF1E28"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人工智能与社会影响学刊</w:t>
    </w:r>
  </w:p>
  <w:p w14:paraId="6EE24070" w14:textId="77777777" w:rsidR="00FF1E28"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78CF06CA" w14:textId="77777777" w:rsidR="00FF1E28" w:rsidRDefault="00000000">
    <w:pPr>
      <w:pStyle w:val="a4"/>
    </w:pPr>
    <w:r>
      <w:rPr>
        <w:noProof/>
        <w:sz w:val="21"/>
      </w:rPr>
      <mc:AlternateContent>
        <mc:Choice Requires="wps">
          <w:drawing>
            <wp:anchor distT="0" distB="0" distL="114300" distR="114300" simplePos="0" relativeHeight="251660288" behindDoc="0" locked="0" layoutInCell="1" allowOverlap="1" wp14:anchorId="0BDD08E8" wp14:editId="39AB5AD0">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7DC7AFAE" wp14:editId="70ABA968">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96515630">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D1D8D"/>
    <w:rsid w:val="00362788"/>
    <w:rsid w:val="006C4E9A"/>
    <w:rsid w:val="00840E57"/>
    <w:rsid w:val="008D2971"/>
    <w:rsid w:val="00A33CDF"/>
    <w:rsid w:val="00DB5820"/>
    <w:rsid w:val="00FF1E28"/>
    <w:rsid w:val="07932D1A"/>
    <w:rsid w:val="1D3FBA3D"/>
    <w:rsid w:val="1EF500CB"/>
    <w:rsid w:val="25FFF9BA"/>
    <w:rsid w:val="2F7F5239"/>
    <w:rsid w:val="36FFA850"/>
    <w:rsid w:val="3CDBD7E2"/>
    <w:rsid w:val="5BF99B6A"/>
    <w:rsid w:val="5D3E1CF9"/>
    <w:rsid w:val="63FF1276"/>
    <w:rsid w:val="65EFFA90"/>
    <w:rsid w:val="6E5ACB68"/>
    <w:rsid w:val="6EF746DF"/>
    <w:rsid w:val="6FFF2BDE"/>
    <w:rsid w:val="6FFF4DAC"/>
    <w:rsid w:val="7067ED24"/>
    <w:rsid w:val="73FB62E0"/>
    <w:rsid w:val="79FBD50C"/>
    <w:rsid w:val="7ACBF71A"/>
    <w:rsid w:val="7BDFE9DA"/>
    <w:rsid w:val="7BEFB2E1"/>
    <w:rsid w:val="7BF79E9D"/>
    <w:rsid w:val="7BF84451"/>
    <w:rsid w:val="7C6F8C7C"/>
    <w:rsid w:val="7EFC9753"/>
    <w:rsid w:val="7F79930D"/>
    <w:rsid w:val="7FA40F30"/>
    <w:rsid w:val="7FC604A9"/>
    <w:rsid w:val="7FEB5819"/>
    <w:rsid w:val="7FEE1117"/>
    <w:rsid w:val="7FFFF9A3"/>
    <w:rsid w:val="AB944322"/>
    <w:rsid w:val="AFAFA382"/>
    <w:rsid w:val="B07DCD42"/>
    <w:rsid w:val="BDEFE631"/>
    <w:rsid w:val="BDFD2BF0"/>
    <w:rsid w:val="BEBB03B2"/>
    <w:rsid w:val="BF5F9896"/>
    <w:rsid w:val="BFBB0C55"/>
    <w:rsid w:val="BFF9282D"/>
    <w:rsid w:val="C0FFD7FB"/>
    <w:rsid w:val="CFE3BB63"/>
    <w:rsid w:val="D99C089A"/>
    <w:rsid w:val="DC3FC214"/>
    <w:rsid w:val="DCFF57FC"/>
    <w:rsid w:val="DF6AD702"/>
    <w:rsid w:val="DFB7325A"/>
    <w:rsid w:val="DFFFFEBB"/>
    <w:rsid w:val="EFED40E2"/>
    <w:rsid w:val="EFEFA618"/>
    <w:rsid w:val="EFEFDAA6"/>
    <w:rsid w:val="EFFBBAB9"/>
    <w:rsid w:val="F49D2C55"/>
    <w:rsid w:val="F59B56A3"/>
    <w:rsid w:val="FB8EBC52"/>
    <w:rsid w:val="FBF79B4D"/>
    <w:rsid w:val="FBFB64BA"/>
    <w:rsid w:val="FDF4B8A1"/>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C8FE3AB"/>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t" w:hAnsi="Times New Roman"/>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ascii="Times New Roman" w:eastAsia="Times New Roman" w:hAnsi="Times New Roman" w:cs="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3776</Words>
  <Characters>4041</Characters>
  <Application>Microsoft Office Word</Application>
  <DocSecurity>0</DocSecurity>
  <Lines>139</Lines>
  <Paragraphs>78</Paragraphs>
  <ScaleCrop>false</ScaleCrop>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2026-03-24T09:06:00Z</dcterms:created>
  <dcterms:modified xsi:type="dcterms:W3CDTF">2026-04-13T07:23:00Z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