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496F" w14:textId="77777777" w:rsidR="00067ECC" w:rsidRDefault="00067ECC">
      <w:pPr>
        <w:spacing w:after="120"/>
        <w:rPr>
          <w:rFonts w:ascii="黑体" w:eastAsia="黑体" w:hAnsi="黑体" w:cs="黑体"/>
          <w:sz w:val="44"/>
          <w:szCs w:val="44"/>
        </w:rPr>
      </w:pPr>
    </w:p>
    <w:p w14:paraId="551D1FE2" w14:textId="77777777" w:rsidR="00067ECC" w:rsidRDefault="00000000">
      <w:pPr>
        <w:spacing w:after="120"/>
        <w:jc w:val="center"/>
        <w:rPr>
          <w:rFonts w:ascii="黑体" w:eastAsia="黑体" w:hAnsi="黑体" w:cs="黑体"/>
          <w:sz w:val="44"/>
          <w:szCs w:val="44"/>
        </w:rPr>
      </w:pPr>
      <w:r>
        <w:rPr>
          <w:rFonts w:ascii="黑体" w:eastAsia="黑体" w:hAnsi="黑体" w:cs="黑体" w:hint="eastAsia"/>
          <w:sz w:val="44"/>
          <w:szCs w:val="44"/>
        </w:rPr>
        <w:t>算法推荐与“信息茧房”的再审视</w:t>
      </w:r>
    </w:p>
    <w:p w14:paraId="595D04FB" w14:textId="77777777" w:rsidR="00067ECC" w:rsidRDefault="00000000">
      <w:pPr>
        <w:spacing w:after="120"/>
        <w:jc w:val="center"/>
        <w:rPr>
          <w:rFonts w:ascii="黑体" w:eastAsia="黑体" w:hAnsi="黑体" w:cs="黑体"/>
          <w:sz w:val="44"/>
          <w:szCs w:val="44"/>
        </w:rPr>
      </w:pPr>
      <w:r>
        <w:rPr>
          <w:rFonts w:ascii="黑体" w:eastAsia="黑体" w:hAnsi="黑体" w:cs="黑体" w:hint="eastAsia"/>
          <w:sz w:val="44"/>
          <w:szCs w:val="44"/>
        </w:rPr>
        <w:t>——基于抖音、小红书用户使用行为的实证调查</w:t>
      </w:r>
    </w:p>
    <w:p w14:paraId="6094EFE4" w14:textId="77777777" w:rsidR="00067ECC" w:rsidRDefault="00067ECC">
      <w:pPr>
        <w:spacing w:line="400" w:lineRule="atLeast"/>
        <w:ind w:left="560" w:hangingChars="200" w:hanging="560"/>
        <w:jc w:val="center"/>
        <w:rPr>
          <w:rFonts w:ascii="方正仿宋_GBK" w:eastAsia="方正仿宋_GBK" w:hAnsi="方正仿宋_GBK" w:cs="方正仿宋_GBK"/>
          <w:sz w:val="28"/>
          <w:szCs w:val="28"/>
          <w:shd w:val="clear" w:color="auto" w:fill="FFFFFF"/>
        </w:rPr>
      </w:pPr>
    </w:p>
    <w:p w14:paraId="4CC3EE72" w14:textId="409CDE89" w:rsidR="00067ECC" w:rsidRDefault="00D40F34">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唐丽</w:t>
      </w:r>
    </w:p>
    <w:p w14:paraId="139F657B" w14:textId="67988DBF" w:rsidR="00067ECC" w:rsidRDefault="00D40F34">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重庆科创职业技术学院</w:t>
      </w:r>
    </w:p>
    <w:p w14:paraId="6504DFE5" w14:textId="680D5CBD" w:rsidR="00067ECC"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 xml:space="preserve">通讯作者*: </w:t>
      </w:r>
      <w:r w:rsidR="00D40F34">
        <w:rPr>
          <w:rFonts w:ascii="Songti SC Bold" w:eastAsia="Songti SC Bold" w:hAnsi="Songti SC Bold" w:cs="Songti SC Bold" w:hint="eastAsia"/>
          <w:sz w:val="18"/>
          <w:szCs w:val="18"/>
        </w:rPr>
        <w:t>唐丽</w:t>
      </w:r>
      <w:r>
        <w:rPr>
          <w:rFonts w:ascii="Songti SC Bold" w:eastAsia="Songti SC Bold" w:hAnsi="Songti SC Bold" w:cs="Songti SC Bold" w:hint="eastAsia"/>
          <w:sz w:val="18"/>
          <w:szCs w:val="18"/>
        </w:rPr>
        <w:t xml:space="preserve">   E-mail：</w:t>
      </w:r>
      <w:r w:rsidR="00D40F34">
        <w:rPr>
          <w:rFonts w:ascii="Songti SC Bold" w:eastAsia="Songti SC Bold" w:hAnsi="Songti SC Bold" w:cs="Songti SC Bold" w:hint="eastAsia"/>
          <w:sz w:val="18"/>
          <w:szCs w:val="18"/>
        </w:rPr>
        <w:t>578680698@qq.com</w:t>
      </w:r>
    </w:p>
    <w:p w14:paraId="070E4796" w14:textId="77777777" w:rsidR="00067ECC" w:rsidRDefault="00067ECC">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067ECC" w14:paraId="42A936E6" w14:textId="77777777">
        <w:trPr>
          <w:trHeight w:val="385"/>
        </w:trPr>
        <w:tc>
          <w:tcPr>
            <w:tcW w:w="1680" w:type="pct"/>
            <w:tcBorders>
              <w:left w:val="nil"/>
              <w:bottom w:val="single" w:sz="4" w:space="0" w:color="auto"/>
              <w:right w:val="nil"/>
            </w:tcBorders>
            <w:vAlign w:val="center"/>
          </w:tcPr>
          <w:p w14:paraId="49DCEE7A" w14:textId="77777777" w:rsidR="00067ECC"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3BB5A5DF" w14:textId="77777777" w:rsidR="00067ECC"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067ECC" w14:paraId="1632A2B7" w14:textId="77777777">
        <w:trPr>
          <w:trHeight w:val="273"/>
        </w:trPr>
        <w:tc>
          <w:tcPr>
            <w:tcW w:w="1680" w:type="pct"/>
            <w:tcBorders>
              <w:top w:val="single" w:sz="4" w:space="0" w:color="auto"/>
              <w:left w:val="nil"/>
              <w:bottom w:val="nil"/>
              <w:right w:val="nil"/>
            </w:tcBorders>
            <w:vAlign w:val="center"/>
          </w:tcPr>
          <w:p w14:paraId="70ABFC0E" w14:textId="77777777" w:rsidR="00067ECC"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10F19183" w14:textId="77777777" w:rsidR="00067ECC" w:rsidRDefault="00000000">
            <w:pPr>
              <w:pStyle w:val="a5"/>
              <w:widowControl/>
              <w:spacing w:beforeAutospacing="0" w:afterAutospacing="0"/>
              <w:rPr>
                <w:rFonts w:ascii="楷体" w:eastAsia="楷体" w:hAnsi="楷体" w:cs="楷体"/>
                <w:kern w:val="2"/>
                <w:sz w:val="21"/>
                <w:szCs w:val="18"/>
              </w:rPr>
            </w:pPr>
            <w:r>
              <w:rPr>
                <w:rFonts w:ascii="楷体" w:eastAsia="楷体" w:hAnsi="楷体" w:cs="楷体"/>
                <w:kern w:val="2"/>
                <w:sz w:val="21"/>
                <w:szCs w:val="18"/>
              </w:rPr>
              <w:t>算法推荐已成为社交媒体平台的核心信息分发机制，但关于其是否必然导致“信息茧房”的争论始终未有定论。本研究以抖音和小红书为研究对象，采用半结构化访谈（20名用户）与使用日志分析（7天记录）相结合的混合研究方法，对算法推荐与信息多样性之间的关系进行了实证考察。研究发现：信息接触多样性并非普遍降低，部分用户因推荐算法发现了全新的兴趣领域；“信息茧房”更易出现在被动使用、低干预习惯的用户群体中；平台机制差异显著影响信息多样性，抖音的强推荐模式与小红书的“搜索+推荐”混合模式呈现出不同的茧房效应强度；用户的主动干预行为（如点击“不感兴趣”、主动搜索）能够显著缓解内容同质化。研究揭示，信息茧房的生成不是算法单方面作用的结果，而是用户行为与算法反馈共同构成的循环过程。基于此，研究从平台设计、用户素养与监管政策三个层面提出对策建议，呼吁从“批判算法”转向“人机协同”的研究与实践范式。</w:t>
            </w:r>
          </w:p>
          <w:p w14:paraId="1E67FBC6" w14:textId="77777777" w:rsidR="00067ECC" w:rsidRDefault="00067ECC">
            <w:pPr>
              <w:spacing w:after="120"/>
              <w:jc w:val="left"/>
              <w:rPr>
                <w:rFonts w:ascii="楷体" w:eastAsia="楷体" w:hAnsi="楷体" w:cs="楷体"/>
                <w:szCs w:val="18"/>
              </w:rPr>
            </w:pPr>
          </w:p>
        </w:tc>
      </w:tr>
      <w:tr w:rsidR="00067ECC" w14:paraId="01EC2A96" w14:textId="77777777">
        <w:trPr>
          <w:trHeight w:val="763"/>
        </w:trPr>
        <w:tc>
          <w:tcPr>
            <w:tcW w:w="1680" w:type="pct"/>
            <w:tcBorders>
              <w:top w:val="nil"/>
              <w:left w:val="nil"/>
              <w:bottom w:val="nil"/>
              <w:right w:val="nil"/>
            </w:tcBorders>
            <w:vAlign w:val="center"/>
          </w:tcPr>
          <w:p w14:paraId="2F98FA68" w14:textId="77777777" w:rsidR="00067ECC" w:rsidRDefault="00000000">
            <w:pPr>
              <w:rPr>
                <w:rFonts w:ascii="Times New Roman Bold" w:hAnsi="Times New Roman Bold" w:cs="Times New Roman Bold"/>
                <w:sz w:val="20"/>
                <w:szCs w:val="20"/>
              </w:rPr>
            </w:pPr>
            <w:r>
              <w:rPr>
                <w:rFonts w:ascii="Times New Roman Bold" w:hAnsi="Times New Roman Bold" w:cs="Times New Roman Bold"/>
                <w:sz w:val="20"/>
                <w:szCs w:val="20"/>
              </w:rPr>
              <w:t>算法推荐；信息茧房；抖音；小红书；用户能动性</w:t>
            </w:r>
          </w:p>
        </w:tc>
        <w:tc>
          <w:tcPr>
            <w:tcW w:w="3319" w:type="pct"/>
            <w:vMerge/>
            <w:tcBorders>
              <w:top w:val="nil"/>
              <w:left w:val="nil"/>
              <w:right w:val="nil"/>
            </w:tcBorders>
            <w:vAlign w:val="center"/>
          </w:tcPr>
          <w:p w14:paraId="1ACB3CE7" w14:textId="77777777" w:rsidR="00067ECC" w:rsidRDefault="00067ECC">
            <w:pPr>
              <w:pStyle w:val="a4"/>
              <w:rPr>
                <w:rFonts w:cs="Times New Roman"/>
                <w:bCs/>
                <w:iCs/>
                <w:sz w:val="20"/>
                <w:szCs w:val="20"/>
              </w:rPr>
            </w:pPr>
          </w:p>
        </w:tc>
      </w:tr>
      <w:tr w:rsidR="00067ECC" w14:paraId="1176F144" w14:textId="77777777">
        <w:trPr>
          <w:trHeight w:val="246"/>
        </w:trPr>
        <w:tc>
          <w:tcPr>
            <w:tcW w:w="1680" w:type="pct"/>
            <w:tcBorders>
              <w:top w:val="nil"/>
              <w:left w:val="nil"/>
              <w:bottom w:val="nil"/>
              <w:right w:val="nil"/>
            </w:tcBorders>
            <w:vAlign w:val="center"/>
          </w:tcPr>
          <w:p w14:paraId="5C2A669A" w14:textId="77777777" w:rsidR="00067ECC" w:rsidRDefault="00067ECC">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1AEFEEF" w14:textId="77777777" w:rsidR="00067ECC" w:rsidRDefault="00067ECC">
            <w:pPr>
              <w:pStyle w:val="a4"/>
              <w:rPr>
                <w:rFonts w:ascii="Times New Roman Bold" w:hAnsi="Times New Roman Bold" w:cs="Times New Roman Bold"/>
                <w:b/>
                <w:bCs/>
                <w:sz w:val="20"/>
                <w:szCs w:val="20"/>
              </w:rPr>
            </w:pPr>
          </w:p>
        </w:tc>
      </w:tr>
      <w:tr w:rsidR="00067ECC" w14:paraId="0805408C" w14:textId="77777777">
        <w:trPr>
          <w:trHeight w:val="246"/>
        </w:trPr>
        <w:tc>
          <w:tcPr>
            <w:tcW w:w="1680" w:type="pct"/>
            <w:tcBorders>
              <w:top w:val="nil"/>
              <w:left w:val="nil"/>
              <w:bottom w:val="nil"/>
              <w:right w:val="nil"/>
            </w:tcBorders>
            <w:vAlign w:val="center"/>
          </w:tcPr>
          <w:p w14:paraId="1B127A66" w14:textId="77777777" w:rsidR="00067ECC" w:rsidRDefault="00067ECC">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2EEE537A" w14:textId="77777777" w:rsidR="00067ECC" w:rsidRDefault="00067ECC">
            <w:pPr>
              <w:pStyle w:val="a4"/>
              <w:rPr>
                <w:rFonts w:ascii="Times New Roman Bold" w:hAnsi="Times New Roman Bold" w:cs="Times New Roman Bold"/>
                <w:b/>
                <w:bCs/>
                <w:sz w:val="20"/>
                <w:szCs w:val="20"/>
              </w:rPr>
            </w:pPr>
          </w:p>
        </w:tc>
      </w:tr>
      <w:tr w:rsidR="00067ECC" w14:paraId="5CF2AA15" w14:textId="77777777">
        <w:trPr>
          <w:trHeight w:val="320"/>
        </w:trPr>
        <w:tc>
          <w:tcPr>
            <w:tcW w:w="1680" w:type="pct"/>
            <w:tcBorders>
              <w:top w:val="nil"/>
              <w:left w:val="nil"/>
              <w:bottom w:val="nil"/>
              <w:right w:val="nil"/>
            </w:tcBorders>
            <w:vAlign w:val="center"/>
          </w:tcPr>
          <w:p w14:paraId="4C89EA70" w14:textId="77777777" w:rsidR="00067ECC" w:rsidRDefault="00067ECC">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1F3B1A3" w14:textId="77777777" w:rsidR="00067ECC" w:rsidRDefault="00067ECC">
            <w:pPr>
              <w:pStyle w:val="a4"/>
              <w:rPr>
                <w:rFonts w:ascii="Times New Roman Bold" w:hAnsi="Times New Roman Bold" w:cs="Times New Roman Bold"/>
                <w:b/>
                <w:bCs/>
                <w:sz w:val="20"/>
                <w:szCs w:val="20"/>
              </w:rPr>
            </w:pPr>
          </w:p>
        </w:tc>
      </w:tr>
      <w:tr w:rsidR="00067ECC" w14:paraId="23C32B7D" w14:textId="77777777">
        <w:trPr>
          <w:trHeight w:val="200"/>
        </w:trPr>
        <w:tc>
          <w:tcPr>
            <w:tcW w:w="1680" w:type="pct"/>
            <w:tcBorders>
              <w:top w:val="nil"/>
              <w:left w:val="nil"/>
              <w:bottom w:val="nil"/>
              <w:right w:val="nil"/>
            </w:tcBorders>
            <w:vAlign w:val="center"/>
          </w:tcPr>
          <w:p w14:paraId="6473C8BC" w14:textId="77777777" w:rsidR="00067ECC" w:rsidRDefault="00067ECC">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48E8BDB9" w14:textId="77777777" w:rsidR="00067ECC" w:rsidRDefault="00067ECC">
            <w:pPr>
              <w:pStyle w:val="a4"/>
              <w:rPr>
                <w:rFonts w:ascii="Times New Roman Bold" w:hAnsi="Times New Roman Bold" w:cs="Times New Roman Bold"/>
                <w:b/>
                <w:bCs/>
                <w:sz w:val="20"/>
                <w:szCs w:val="20"/>
              </w:rPr>
            </w:pPr>
          </w:p>
        </w:tc>
      </w:tr>
      <w:tr w:rsidR="00067ECC" w14:paraId="44E98B06" w14:textId="77777777">
        <w:trPr>
          <w:trHeight w:val="200"/>
        </w:trPr>
        <w:tc>
          <w:tcPr>
            <w:tcW w:w="1680" w:type="pct"/>
            <w:tcBorders>
              <w:top w:val="nil"/>
              <w:left w:val="nil"/>
              <w:bottom w:val="nil"/>
              <w:right w:val="nil"/>
            </w:tcBorders>
            <w:vAlign w:val="center"/>
          </w:tcPr>
          <w:p w14:paraId="1168269E" w14:textId="77777777" w:rsidR="00067ECC" w:rsidRDefault="00067ECC">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39E2475" w14:textId="77777777" w:rsidR="00067ECC" w:rsidRDefault="00067ECC">
            <w:pPr>
              <w:pStyle w:val="a4"/>
              <w:rPr>
                <w:rFonts w:ascii="Times New Roman Bold" w:hAnsi="Times New Roman Bold" w:cs="Times New Roman Bold"/>
                <w:b/>
                <w:bCs/>
                <w:sz w:val="20"/>
                <w:szCs w:val="20"/>
              </w:rPr>
            </w:pPr>
          </w:p>
        </w:tc>
      </w:tr>
      <w:tr w:rsidR="00067ECC" w14:paraId="4BFFC348" w14:textId="77777777">
        <w:trPr>
          <w:trHeight w:val="200"/>
        </w:trPr>
        <w:tc>
          <w:tcPr>
            <w:tcW w:w="1680" w:type="pct"/>
            <w:tcBorders>
              <w:top w:val="nil"/>
              <w:left w:val="nil"/>
              <w:bottom w:val="single" w:sz="4" w:space="0" w:color="auto"/>
              <w:right w:val="nil"/>
            </w:tcBorders>
          </w:tcPr>
          <w:p w14:paraId="4E873BF2" w14:textId="77777777" w:rsidR="00067ECC" w:rsidRDefault="00067ECC">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51399CB" w14:textId="77777777" w:rsidR="00067ECC" w:rsidRDefault="00067ECC">
            <w:pPr>
              <w:pStyle w:val="a4"/>
              <w:rPr>
                <w:rFonts w:ascii="Times New Roman Bold" w:hAnsi="Times New Roman Bold" w:cs="Times New Roman Bold"/>
                <w:b/>
                <w:bCs/>
                <w:sz w:val="20"/>
                <w:szCs w:val="20"/>
              </w:rPr>
            </w:pPr>
          </w:p>
        </w:tc>
      </w:tr>
    </w:tbl>
    <w:p w14:paraId="2DF38663" w14:textId="77777777" w:rsidR="00067ECC" w:rsidRDefault="00067ECC">
      <w:pPr>
        <w:pStyle w:val="1"/>
        <w:spacing w:before="0" w:after="240" w:line="360" w:lineRule="auto"/>
        <w:jc w:val="center"/>
        <w:rPr>
          <w:rFonts w:ascii="Heiti SC Medium" w:eastAsia="Heiti SC Medium" w:hAnsi="Heiti SC Medium" w:cs="Heiti SC Medium"/>
          <w:b/>
          <w:bCs/>
          <w:kern w:val="2"/>
          <w:sz w:val="36"/>
          <w:szCs w:val="36"/>
        </w:rPr>
      </w:pPr>
    </w:p>
    <w:p w14:paraId="727746A6" w14:textId="77777777" w:rsidR="00067ECC"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b/>
          <w:bCs/>
          <w:kern w:val="2"/>
          <w:sz w:val="36"/>
          <w:szCs w:val="36"/>
        </w:rPr>
        <w:t xml:space="preserve"> 1.引言</w:t>
      </w:r>
    </w:p>
    <w:p w14:paraId="64DE4178" w14:textId="77777777" w:rsidR="00067EC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bCs/>
          <w:snapToGrid w:val="0"/>
          <w:color w:val="000000"/>
          <w:kern w:val="0"/>
          <w:sz w:val="30"/>
          <w:szCs w:val="30"/>
        </w:rPr>
        <w:t>1.1研究背景算法推荐已成为社交媒体的核心分发机制，“信息茧房”担忧广泛存在</w:t>
      </w:r>
    </w:p>
    <w:p w14:paraId="3D82797A"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lastRenderedPageBreak/>
        <w:t>近年来，算法推荐技术已全面嵌入社交媒体平台的运行逻辑，成为连接内容生产与消费的核心枢纽。从抖音的短视频推荐到小红书的笔记分发，算法在提升信息匹配效率的同时，也引发了持续的学术争论与社会焦虑。其中最具影响力的批评来自桑斯坦（Cass Sunstein）于2006年提出的“信息茧房”（Information Cocoon）概念，意指个体在信息选择中倾向于关注自己感兴趣的领域，排斥异质信息，最终困于自我编织的信息之茧中。随着推荐算法在社交媒体上的广泛应用，这一概念被频繁用于指称算法推荐可能导致的信息窄化与观点极化风险，甚至出现了“傻子共振”等尖锐用语。</w:t>
      </w:r>
    </w:p>
    <w:p w14:paraId="517B11D7"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然而，围绕“信息茧房”的学术讨论并非铁板一块。有学者指出，桑斯坦提出这一概念时互联网尚处于博客时代，算法技术远未成熟，将这一概念直接挪用至对当代算法的批评需要审慎对待。近年来的实证研究也提供了不同的声音：一项基于1215名用户的调查显示，近八成短视频用户认为算法推荐的内容多样，能够帮助拓展信息视野；另有研究发现，相比随机推荐，算法个性化推荐的内容反而更加多样平衡。这些发现提示我们，算法推荐与信息茧房之间的关系并非简单的线性因果，而需要置于更复杂的用户—平台互动框架中加以审视。</w:t>
      </w:r>
    </w:p>
    <w:p w14:paraId="79683ABF" w14:textId="77777777" w:rsidR="00067ECC" w:rsidRDefault="00000000">
      <w:pPr>
        <w:spacing w:after="240" w:line="360" w:lineRule="auto"/>
        <w:rPr>
          <w:rFonts w:ascii="Songti SC Regular" w:eastAsia="Songti SC Regular" w:hAnsi="Songti SC Regular" w:cs="Songti SC Regular"/>
          <w:sz w:val="24"/>
        </w:rPr>
      </w:pPr>
      <w:r>
        <w:rPr>
          <w:rFonts w:ascii="Heiti SC Light" w:eastAsia="Heiti SC Light" w:hAnsi="Heiti SC Light" w:cs="Heiti SC Light"/>
          <w:bCs/>
          <w:snapToGrid w:val="0"/>
          <w:color w:val="000000"/>
          <w:kern w:val="0"/>
          <w:sz w:val="30"/>
          <w:szCs w:val="30"/>
        </w:rPr>
        <w:t>1.2 问题提出：算法推荐是否必然导致信息茧房？用户的主动选择与平台干预能否缓解？</w:t>
      </w:r>
    </w:p>
    <w:p w14:paraId="2EA2A2D4"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基于上述背景，本研究提出三个核心研究问题：第一，算法推荐是否必然导致用户陷入信息茧房？第二，用户的主动选择行为（如主动搜索、跳过、点击“不感兴趣”等）能否缓解或阻断茧房效应的形成？第三，不同平台的算法机制差异如何影响信息接触的多样性？</w:t>
      </w:r>
    </w:p>
    <w:p w14:paraId="304D7901"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这些问题之所以重要，在于它们直接关系到我们对算法社会影响的判断尺度。如果算法推荐必然导致茧房，那么监管方向就应指向限制甚至取消个性化推荐；反之，如果茧房效应更多取决于用户行为习惯与平台设计选择，那么对策就应聚焦于提升用户能动性和优</w:t>
      </w:r>
      <w:r>
        <w:rPr>
          <w:rFonts w:ascii="Songti SC Regular" w:eastAsia="Songti SC Regular" w:hAnsi="Songti SC Regular" w:cs="Songti SC Regular"/>
          <w:sz w:val="24"/>
        </w:rPr>
        <w:lastRenderedPageBreak/>
        <w:t>化平台干预机制。二者对应着截然不同的治理路径。</w:t>
      </w:r>
    </w:p>
    <w:p w14:paraId="2727FAF9" w14:textId="77777777" w:rsidR="00067EC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bCs/>
          <w:snapToGrid w:val="0"/>
          <w:color w:val="000000"/>
          <w:kern w:val="0"/>
          <w:sz w:val="30"/>
          <w:szCs w:val="30"/>
        </w:rPr>
        <w:t xml:space="preserve"> 1.3 研究方法：半结构化访谈（20名用户）+ 使用日志分析（7天记录）</w:t>
      </w:r>
    </w:p>
    <w:p w14:paraId="43D3F39B"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本研究采用半结构化访谈与使用日志分析相结合的混合研究方法。访谈部分共招募20名抖音与小红书用户，覆盖不同年龄、职业与使用时长群体，围绕信息接触多样性感知、算法推荐满意度、主动干预行为等维度展开深度访谈。使用日志分析部分要求参与者连续7天记录每日浏览内容的类别、来源（推荐/关注/搜索），以获取用户在自然使用情境下的行为数据。</w:t>
      </w:r>
    </w:p>
    <w:p w14:paraId="35355049" w14:textId="77777777" w:rsidR="00067EC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bCs/>
          <w:snapToGrid w:val="0"/>
          <w:color w:val="000000"/>
          <w:kern w:val="0"/>
          <w:sz w:val="30"/>
          <w:szCs w:val="30"/>
        </w:rPr>
        <w:t xml:space="preserve"> 1.4 结构安排</w:t>
      </w:r>
    </w:p>
    <w:p w14:paraId="5955C53A"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本文的结构如下：第二部分梳理信息茧房理论溯源与算法推荐运作逻辑，提出用户能动性这一核心分析维度；第三部分详细说明研究设计与数据收集过程；第四部分呈现数据分析的主要发现；第五部分讨论从“算法决定论”到“人机互动观”的理论转向；第六部分提出多层次的对策建议；第七部分总结研究结论并指出局限与展望。</w:t>
      </w:r>
    </w:p>
    <w:p w14:paraId="4A7C3190" w14:textId="77777777" w:rsidR="00067ECC"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b/>
          <w:bCs/>
          <w:kern w:val="2"/>
          <w:sz w:val="36"/>
          <w:szCs w:val="36"/>
        </w:rPr>
        <w:t xml:space="preserve"> 2.理论基础与核心概念</w:t>
      </w:r>
    </w:p>
    <w:p w14:paraId="198645F2" w14:textId="77777777" w:rsidR="00067EC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bCs/>
          <w:snapToGrid w:val="0"/>
          <w:color w:val="000000"/>
          <w:kern w:val="0"/>
          <w:sz w:val="30"/>
          <w:szCs w:val="30"/>
        </w:rPr>
        <w:t xml:space="preserve"> 2.1 信息茧房理论溯源与近年争议</w:t>
      </w:r>
    </w:p>
    <w:p w14:paraId="4F360637"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“信息茧房”（Information Cocoon）由美国学者凯斯·桑斯坦在2006年出版的《信息乌托邦——众人如何生产知识》中正式提出。桑斯坦认为，在互联网环境下，人们倾向于关注让自己感到放松和愉悦的信息领域，习惯性地回避具有挑战性的内容，久而久之，从外界获取的信息愈发趋向单一化和同质化，便不自觉地陷入自我编织的茧房之中。与信息茧房密切相关的概念还包括“回音室效应”（Echo Chamber）和“过滤气泡”（Filter Bubble）。前者强调同质化群体内部观点的相互强化，后者则聚焦算法对信息的筛选过滤。</w:t>
      </w:r>
    </w:p>
    <w:p w14:paraId="669959C0"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然而，近年来学术界对信息茧房理论的适用性提出了重要质疑。首先，信息茧房这一</w:t>
      </w:r>
      <w:r>
        <w:rPr>
          <w:rFonts w:ascii="Songti SC Regular" w:eastAsia="Songti SC Regular" w:hAnsi="Songti SC Regular" w:cs="Songti SC Regular"/>
          <w:sz w:val="24"/>
        </w:rPr>
        <w:lastRenderedPageBreak/>
        <w:t>概念提出于2006年，当时算法推荐技术尚未普及，将其直接挪用于对算法时代的批评可能犯了时代错置的谬误。其次，大量实证研究未能充分证实茧房效应的普遍存在。深圳大学发布的《短视频用户的算法实践与“破茧”报告》显示，77.8%的用户认为能在算法推荐中看到“出乎意料但有趣的内容”，73.9%的用户表示算法能帮助他们发现“以前不了解的全新兴趣领域”。此外，清华大学学者进一步区分了“个体茧房”与“群体茧房”，指出个体选择停留在信息舒适区有其正当性，而真正需要关注的是那些算法素养高但认知固化的“清醒自缚者”。这些反思提示我们，信息茧房并非普遍必然的后果，而是一个需要具体情境化分析的复杂现象。</w:t>
      </w:r>
    </w:p>
    <w:p w14:paraId="2414F890" w14:textId="77777777" w:rsidR="00067EC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bCs/>
          <w:snapToGrid w:val="0"/>
          <w:color w:val="000000"/>
          <w:kern w:val="0"/>
          <w:sz w:val="30"/>
          <w:szCs w:val="30"/>
        </w:rPr>
        <w:t xml:space="preserve"> 2.2 算法推荐的运作逻辑：协同过滤、兴趣标签、流量池机制</w:t>
      </w:r>
    </w:p>
    <w:p w14:paraId="53906FAC"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理解算法推荐与信息多样性的关系，首先需要把握算法推荐的技术逻辑。以抖音为例，其推荐系统基于用户行为的深度神经网络模型，包含协同过滤、双塔召回、</w:t>
      </w:r>
      <w:proofErr w:type="spellStart"/>
      <w:r>
        <w:rPr>
          <w:rFonts w:ascii="Songti SC Regular" w:eastAsia="Songti SC Regular" w:hAnsi="Songti SC Regular" w:cs="Songti SC Regular"/>
          <w:sz w:val="24"/>
        </w:rPr>
        <w:t>Wide&amp;Deep</w:t>
      </w:r>
      <w:proofErr w:type="spellEnd"/>
      <w:r>
        <w:rPr>
          <w:rFonts w:ascii="Songti SC Regular" w:eastAsia="Songti SC Regular" w:hAnsi="Songti SC Regular" w:cs="Songti SC Regular"/>
          <w:sz w:val="24"/>
        </w:rPr>
        <w:t>等多种技术方法。算法可以在完全“不理解内容”的情况下，通过预估用户行为，计算用户观看每条内容获得的价值总和，将排名靠前的内容推送给用户。值得注意的是，抖音算法已几乎不依赖对内容和用户打标签，而是通过神经网络直接从行为数据中学习用户偏好。</w:t>
      </w:r>
    </w:p>
    <w:p w14:paraId="6718FEA3"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为了打破“信息茧房”，抖音算法设置了专门的探索维度：一方面，对用户已表现出的兴趣进行多样性打散和多兴趣召回，控制相似内容的频次；另一方面，采用随机推荐、社交关系拓展、搜索推荐联动等方式帮助用户探索新兴趣。在治理层面，抖音采取“人工+机器”协同模式，由平台治理团队为算法设置“护栏”。</w:t>
      </w:r>
    </w:p>
    <w:p w14:paraId="44ED954C"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相比之下，小红书的算法机制呈现出显著不同的特征。数据显示，小红书超过65%的流量来源于搜索，用户的典型使用路径是“搜索关键词→浏览推荐页→成交”。这意味着小红书并非纯粹的推荐驱动型平台，而是“搜索+推荐”的混合模式。2025年小红书算法进一步调整，其核心逻辑转向“破圈”与“克制”——算法会主动干预某类内容的曝光次数，给不同类型</w:t>
      </w:r>
      <w:r>
        <w:rPr>
          <w:rFonts w:ascii="Songti SC Regular" w:eastAsia="Songti SC Regular" w:hAnsi="Songti SC Regular" w:cs="Songti SC Regular"/>
          <w:sz w:val="24"/>
        </w:rPr>
        <w:lastRenderedPageBreak/>
        <w:t>的内容以曝光机会，避免用户陷入单一内容疲劳。</w:t>
      </w:r>
    </w:p>
    <w:p w14:paraId="69855588"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两大平台的算法差异为比较研究提供了天然的分析场景：抖音以推荐为核心，强调通过算法主动探索打破茧房；小红书则依赖用户的搜索意图驱动，推荐更多扮演辅助角色。</w:t>
      </w:r>
    </w:p>
    <w:p w14:paraId="3B2F22D7" w14:textId="77777777" w:rsidR="00067EC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bCs/>
          <w:snapToGrid w:val="0"/>
          <w:color w:val="000000"/>
          <w:kern w:val="0"/>
          <w:sz w:val="30"/>
          <w:szCs w:val="30"/>
        </w:rPr>
        <w:t xml:space="preserve"> 2.3 用户能动性：主动搜索、跳过、点击“不感兴趣”等行为</w:t>
      </w:r>
    </w:p>
    <w:p w14:paraId="1A58632E"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用户能动性（User Agency）是本研究的另一个核心概念。在算法推荐的研究中，用户常被预设为被动的信息接受者，但实际上用户具备丰富的主动干预能力。常见的用户干预行为包括：主动搜索特定主题内容、对不感兴趣的内容进行跳过或点击“不感兴趣”、主动关注特定创作者、跨平台获取信息等。</w:t>
      </w:r>
    </w:p>
    <w:p w14:paraId="4BE1A3B7"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实证研究显示，超过75%的短视频用户相信自己的行为能“驯化”算法，超过65%的用户表示能熟练运用“不感兴趣”等功能调整内容，超六成用户有主动“破茧”的意愿与行为。这些数据表明，用户的能动性在算法推荐生态中发挥着不可忽视的调节作用。用户的每一次主动行为——无论是点击“不感兴趣”、主动搜索新话题，还是跨平台浏览——都在向算法传递信号，影响着后续推荐内容的构成。</w:t>
      </w:r>
    </w:p>
    <w:p w14:paraId="2A5292AD" w14:textId="77777777" w:rsidR="00067ECC"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b/>
          <w:bCs/>
          <w:kern w:val="2"/>
          <w:sz w:val="36"/>
          <w:szCs w:val="36"/>
        </w:rPr>
        <w:t xml:space="preserve"> 3.研究设计与数据收集</w:t>
      </w:r>
    </w:p>
    <w:p w14:paraId="3CD1BF9B" w14:textId="77777777" w:rsidR="00067EC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bCs/>
          <w:snapToGrid w:val="0"/>
          <w:color w:val="000000"/>
          <w:kern w:val="0"/>
          <w:sz w:val="30"/>
          <w:szCs w:val="30"/>
        </w:rPr>
        <w:t xml:space="preserve"> 3.1 受访者招募：覆盖不同年龄、职业、使用时长的抖音与小红书用户</w:t>
      </w:r>
    </w:p>
    <w:p w14:paraId="55B05F18"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本研究采用目的性抽样与滚雪球抽样相结合的方式招募受访者。纳入标准为：（1）年龄在18—45岁之间；（2）抖音或小红书使用时长超过6个月，每周使用频率不低于3次；（3）能够配合完成7天的使用日志记录。最终共招募20名用户，其中抖音用户12人，小红书用户8人（部分用户同时使用两个平台，访谈时分别讨论）。在人口学特征方面，年龄分布为18—25岁6人，26—35岁10人，36—45岁4人；职业涵盖大学生、企业职员、自由职业者、公务员等；使用时长从日均0.5小时到4小时不等。</w:t>
      </w:r>
    </w:p>
    <w:p w14:paraId="6A3D07FD" w14:textId="77777777" w:rsidR="00067EC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bCs/>
          <w:snapToGrid w:val="0"/>
          <w:color w:val="000000"/>
          <w:kern w:val="0"/>
          <w:sz w:val="30"/>
          <w:szCs w:val="30"/>
        </w:rPr>
        <w:lastRenderedPageBreak/>
        <w:t xml:space="preserve"> 3.2 访谈提纲：信息接触多样性感知、算法推荐满意度、主动干预行为</w:t>
      </w:r>
    </w:p>
    <w:p w14:paraId="426860CF"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半结构化访谈围绕以下核心维度展开：（1）用户对信息接触多样性的主观感知——用户是否感到自己的信息视野在缩小，还是有所拓展？（2）算法推荐满意度——用户认为推荐内容是否“懂自己”？是否感到厌倦或疲劳？（3）主动干预行为——用户是否经常主动搜索、点击“不感兴趣”、关注特定创作者？干预后是否感受到推荐内容的变化？每个访谈时长约为45—60分钟，经受访者同意后进行录音并转录为文本。</w:t>
      </w:r>
    </w:p>
    <w:p w14:paraId="3956AE41" w14:textId="77777777" w:rsidR="00067EC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bCs/>
          <w:snapToGrid w:val="0"/>
          <w:color w:val="000000"/>
          <w:kern w:val="0"/>
          <w:sz w:val="30"/>
          <w:szCs w:val="30"/>
        </w:rPr>
        <w:t xml:space="preserve"> 3.3 使用日志记录：每日浏览内容的类别、来源（推荐/关注/搜索）</w:t>
      </w:r>
    </w:p>
    <w:p w14:paraId="4D67D146"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日志记录要求参与者连续7天，每天记录以下信息：当日浏览的主要内容类别（如娱乐、科技、美食、时政、知识科普等）、每条内容的来源渠道（推荐流/关注列表/搜索/外部链接）、用户对该内容的反应（完播/点赞/评论/收藏/跳过/不感兴趣）。为保证记录的准确性，研究人员向参与者提供了标准化的记录表格模板，并在每日结束时通过即时通讯工具提醒填写。</w:t>
      </w:r>
    </w:p>
    <w:p w14:paraId="22D44638" w14:textId="77777777" w:rsidR="00067EC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bCs/>
          <w:snapToGrid w:val="0"/>
          <w:color w:val="000000"/>
          <w:kern w:val="0"/>
          <w:sz w:val="30"/>
          <w:szCs w:val="30"/>
        </w:rPr>
        <w:t xml:space="preserve"> 3.4 数据收集时间：2025年12月—2026年1月</w:t>
      </w:r>
    </w:p>
    <w:p w14:paraId="44969960"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数据收集于2025年12月至2026年1月期间完成，历时约六周。访谈与日志记录同步进行，日志数据收集完成后随即对部分受访者进行了补充追问，以澄清日志记录中的模糊信息。所有数据均以匿名化方式处理，受访者以编号形式呈现。</w:t>
      </w:r>
    </w:p>
    <w:p w14:paraId="6086D935" w14:textId="77777777" w:rsidR="00067ECC"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b/>
          <w:bCs/>
          <w:kern w:val="2"/>
          <w:sz w:val="36"/>
          <w:szCs w:val="36"/>
        </w:rPr>
        <w:t xml:space="preserve"> 4.数据分析与发现</w:t>
      </w:r>
    </w:p>
    <w:p w14:paraId="30479E39" w14:textId="77777777" w:rsidR="00067EC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bCs/>
          <w:snapToGrid w:val="0"/>
          <w:color w:val="000000"/>
          <w:kern w:val="0"/>
          <w:sz w:val="30"/>
          <w:szCs w:val="30"/>
        </w:rPr>
        <w:t xml:space="preserve"> 4.1 信息接触多样性并非普遍降低：部分用户因推荐算法发现了新领域</w:t>
      </w:r>
    </w:p>
    <w:p w14:paraId="468DADA0"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与“算法导致信息窄化”的预设判断不同，本研究发现相当一部分用户的信息接触多样性并未降低，甚至因推荐算法而显著拓展。访谈中有用户表示：“之前我只看搞笑视频，但抖音给我推了几次科普类内容，我看了觉得很有意思，现在经常刷到各种知识类视频。”（U03，抖音用户，日均使用2小时）使用日志分析进一步印证了这一发现：在20名受访者的日志</w:t>
      </w:r>
      <w:r>
        <w:rPr>
          <w:rFonts w:ascii="Songti SC Regular" w:eastAsia="Songti SC Regular" w:hAnsi="Songti SC Regular" w:cs="Songti SC Regular"/>
          <w:sz w:val="24"/>
        </w:rPr>
        <w:lastRenderedPageBreak/>
        <w:t>记录中，有14人在7天内浏览了3个以上的内容类别，其中有5人的浏览类别超过5个。</w:t>
      </w:r>
    </w:p>
    <w:p w14:paraId="444AA073"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这一发现与深圳大学的研究报告结论高度一致。该报告指出，77.8%的用户认为能在算法推荐中看到“出乎意料但有趣的内容”，73.9%的用户表示算法能帮助发现“以前不了解的全新兴趣领域”。抖音算法中专门设置的“探索维度”，包括随机推荐和社交关系拓展等机制，正是促成这一效果的技术基础。</w:t>
      </w:r>
    </w:p>
    <w:p w14:paraId="7DFA46FF" w14:textId="77777777" w:rsidR="00067EC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bCs/>
          <w:snapToGrid w:val="0"/>
          <w:color w:val="000000"/>
          <w:kern w:val="0"/>
          <w:sz w:val="30"/>
          <w:szCs w:val="30"/>
        </w:rPr>
        <w:t xml:space="preserve"> 4.2 “茧房”更易出现在被动使用、低干预习惯的用户群体中</w:t>
      </w:r>
    </w:p>
    <w:p w14:paraId="0582A212"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然而，并非所有用户都受益于算法的多样性推送。研究发现，信息茧房的效应更集中地出现在被动使用、低干预习惯的用户群体中。所谓“被动使用”，指用户主要以无目的刷视频为主，很少进行主动搜索或点击“不感兴趣”等干预行为。U11（小红书用户，日均使用3.5小时）在访谈中坦言：“我刷小红书就是放松，没什么特别想看的，一直刷，感觉推的内容越来越像，都是差不多的穿搭和美妆。”（U11）日志记录显示，该用户在7天内的浏览内容中，单一类别（时尚穿搭）占比高达78%，且从未使用过“不感兴趣”功能。</w:t>
      </w:r>
    </w:p>
    <w:p w14:paraId="7F90428F"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相反，那些具有较高干预习惯的用户表现出明显更强的信息多样性。U07（抖音用户，日均使用1.5小时）介绍：“我会经常点‘不感兴趣’，也会主动搜一些我不太了解的领域，比如最近在学摄影，我就主动搜了很多摄影技巧，然后推荐里也开始出现摄影内容了。”（U07）该用户日志记录显示，7天内内容类别达到6个，且每天主动搜索次数不少于2次。</w:t>
      </w:r>
    </w:p>
    <w:p w14:paraId="5C5666BA"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这一发现呼应了清华大学学者关于“个体茧房”与“群体茧房”的区分。前者是个体主动选择的舒适区，未必构成问题；后者则涉及那些虽有算法意识却仍困于认知固化的人，需要重点干预。</w:t>
      </w:r>
    </w:p>
    <w:p w14:paraId="79AFD44B" w14:textId="77777777" w:rsidR="00067EC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bCs/>
          <w:snapToGrid w:val="0"/>
          <w:color w:val="000000"/>
          <w:kern w:val="0"/>
          <w:sz w:val="30"/>
          <w:szCs w:val="30"/>
        </w:rPr>
        <w:t xml:space="preserve"> 4.3 平台差异：抖音的强推荐 vs 小红书的“搜索+推荐”混合，后者茧房效应更弱</w:t>
      </w:r>
    </w:p>
    <w:p w14:paraId="69704292"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两大平台的算法机制差异显著影响了用户的信息接触模式。数据分析显示，小红书用</w:t>
      </w:r>
      <w:r>
        <w:rPr>
          <w:rFonts w:ascii="Songti SC Regular" w:eastAsia="Songti SC Regular" w:hAnsi="Songti SC Regular" w:cs="Songti SC Regular"/>
          <w:sz w:val="24"/>
        </w:rPr>
        <w:lastRenderedPageBreak/>
        <w:t>户的信息多样性普遍高于抖音用户，茧房效应更弱。在日志记录中，小红书用户的日均内容类别数为4.2个，高于抖音用户的3.1个；小红书中来自“搜索”渠道的内容占比为27.6%，远高于抖音的8.3%。</w:t>
      </w:r>
    </w:p>
    <w:p w14:paraId="12B6C883"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这一差异可以从平台机制层面得到解释。抖音以推荐为核心，用户的主要使用路径是打开首页并观看推荐流，被动接受算法的推送。虽然抖音设置了探索维度和多样化推荐机制，但用户的主动性空间相对有限。相比之下，小红书超过65%的流量来源于搜索，用户具有更强的意图驱动特征。正如一位受访者所言：“在小红书，我是带着问题去的，搜完就走；在抖音，我是被算法推着走的。”（U14，双平台用户）深圳大学的研究报告也印证了这一发现，指出小红书“以高效收敛、精准聚焦为主要特征”。</w:t>
      </w:r>
    </w:p>
    <w:p w14:paraId="09370B88"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需要注意的是，“高效收敛”既可能是信息精准匹配的效率体现，也可能意味着快速形成信息窄化。不同解读对应着对“茧房效应”的不同判断。</w:t>
      </w:r>
    </w:p>
    <w:p w14:paraId="1FC20DE4" w14:textId="77777777" w:rsidR="00067EC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bCs/>
          <w:snapToGrid w:val="0"/>
          <w:color w:val="000000"/>
          <w:kern w:val="0"/>
          <w:sz w:val="30"/>
          <w:szCs w:val="30"/>
        </w:rPr>
        <w:t xml:space="preserve"> 4.4 用户干预行为显著缓解同质化</w:t>
      </w:r>
    </w:p>
    <w:p w14:paraId="729BA11E"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用户的主动干预行为——点击“不感兴趣”、主动搜索、屏蔽关键词等——被证实能够显著缓解内容同质化。本研究通过对比同一用户在使用与不使用干预手段时的日志数据发现，在用户实施主动干预的当天，次日推荐流中同类内容的占比平均下降约22%。这一发现与平台官方披露的机制相一致：抖音明确表示用户的主动行为（如“不感兴趣”不再展现、搜索推荐联动）会影响推荐系统，使推荐更加个性化。</w:t>
      </w:r>
    </w:p>
    <w:p w14:paraId="5780EC11"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值得强调的是，用户的干预行为与算法之间形成了一个双向反馈的闭环。用户的每一次“不感兴趣”点击，都会降低同类内容的推荐权重；每一次主动搜索，都会为推荐系统提供新的兴趣信号。正如深圳大学传播学院教授虞鑫所指出的，算法的本质更像是“塑镜”而非“造茧”——它主要扮演映射用户兴趣的镜子，而用户的能动性才是打破信息壁垒的关键。</w:t>
      </w:r>
    </w:p>
    <w:p w14:paraId="07ED1EDF" w14:textId="77777777" w:rsidR="00067ECC"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b/>
          <w:bCs/>
          <w:kern w:val="2"/>
          <w:sz w:val="36"/>
          <w:szCs w:val="36"/>
        </w:rPr>
        <w:lastRenderedPageBreak/>
        <w:t xml:space="preserve"> 5.讨论：从“算法决定”到“人机互动”</w:t>
      </w:r>
    </w:p>
    <w:p w14:paraId="2EC60A8F" w14:textId="77777777" w:rsidR="00067EC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bCs/>
          <w:snapToGrid w:val="0"/>
          <w:color w:val="000000"/>
          <w:kern w:val="0"/>
          <w:sz w:val="30"/>
          <w:szCs w:val="30"/>
        </w:rPr>
        <w:t xml:space="preserve"> 5.1 信息茧房的生成不是算法单方面结果，而是用户行为与算法反馈的循环</w:t>
      </w:r>
    </w:p>
    <w:p w14:paraId="7E8FD69A"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本研究的核心发现指向一个理论转向：信息茧房的生成不应被简单归因为算法的单向决定作用，而应理解为一个用户行为与算法反馈相互耦合的循环过程。在这一循环中，算法根据用户的历史行为（点击、停留、搜索、跳过等）调整推荐内容；用户的后续行为又进一步影响算法。如果用户习惯于被动浏览、从不干预，算法将在正反馈循环中不断强化已有兴趣；反之，如果用户积极干预、主动探索，算法也会随之调整，带来更多样化的内容。</w:t>
      </w:r>
    </w:p>
    <w:p w14:paraId="6F28DD29"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这一发现对当前“算法批判”的主流话语构成重要修正。它提醒我们，将信息茧房完全归咎于算法可能遮蔽了用户自身的责任与能动性空间。正如有学者所指出的，在赋予用户极高自主权的同时，算法也可能无意中帮助兴趣狭隘的用户加深自我封闭。这不是算法本身的善恶问题，而是一个涉及技术设计、用户行为与社会规范的系统性问题。</w:t>
      </w:r>
    </w:p>
    <w:p w14:paraId="0DB95A78" w14:textId="77777777" w:rsidR="00067EC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bCs/>
          <w:snapToGrid w:val="0"/>
          <w:color w:val="000000"/>
          <w:kern w:val="0"/>
          <w:sz w:val="30"/>
          <w:szCs w:val="30"/>
        </w:rPr>
        <w:t xml:space="preserve"> 5.2 平台透明化干预的有效性</w:t>
      </w:r>
    </w:p>
    <w:p w14:paraId="1AD068B7"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近年来，平台已在透明化干预方面做出探索。中央网信办指导的“清朗·网络平台算法典型问题治理”专项行动推动抖音、小红书等平台开发上线了“茧房评估”“一键破茧”等功能，抖音升级了“使用管理助手”，以可视化形式呈现用户近期浏览内容；小红书设置了“内容偏好评估与调节”“探索更多”功能。这些功能的有效性在本研究的访谈中得到了一定印证。U19（小红书用户）表示：“我试过小红书的‘探索更多’，确实会刷到一些不一样的东西。”（U19）</w:t>
      </w:r>
    </w:p>
    <w:p w14:paraId="484DF405"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然而，也有用户反映这些功能的使用效果尚不显著。U05（抖音用户）指出：“我知道有这个功能，但平时刷视频的时候根本想不起来去用。”（U05）这表明平台干预工具的可见性与易用性仍有待提升。复旦大学学者张志安强调，应超越对“可见”内容的关注，深入洞</w:t>
      </w:r>
      <w:r>
        <w:rPr>
          <w:rFonts w:ascii="Songti SC Regular" w:eastAsia="Songti SC Regular" w:hAnsi="Songti SC Regular" w:cs="Songti SC Regular"/>
          <w:sz w:val="24"/>
        </w:rPr>
        <w:lastRenderedPageBreak/>
        <w:t>察背后“不可见”的算法机制，公共讨论在提升算法认知中至关重要。</w:t>
      </w:r>
    </w:p>
    <w:p w14:paraId="71973EDA" w14:textId="77777777" w:rsidR="00067EC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bCs/>
          <w:snapToGrid w:val="0"/>
          <w:color w:val="000000"/>
          <w:kern w:val="0"/>
          <w:sz w:val="30"/>
          <w:szCs w:val="30"/>
        </w:rPr>
        <w:t xml:space="preserve"> 5.3 重新定义算法责任：提供可干预工具，而非完全消除推荐</w:t>
      </w:r>
    </w:p>
    <w:p w14:paraId="525325A2"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基于上述讨论，本研究提出重新定义算法责任的方向。当前围绕“信息茧房”的政策讨论往往隐含一种预设——算法推荐本身就是问题所在，监管的目标应是限制甚至消除推荐。然而，本研究的发现提示了另一种可能性：算法的责任不在于完全消除推荐，而在于为用户提供充分、易用的可干预工具。</w:t>
      </w:r>
    </w:p>
    <w:p w14:paraId="5AD79C08"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具体而言，算法责任应体现在三个层面：第一，透明化责任——让用户了解算法为何推荐这些内容，以及如何影响推荐结果；第二，赋权责任——提供“一键破茧”、内容偏好调节等工具，使用户能够主动管理自己的信息环境；第三，引导责任——在不违背用户自主意愿的前提下，适度引入多样性机制，避免用户被“锁定”在单一兴趣轨道上。</w:t>
      </w:r>
    </w:p>
    <w:p w14:paraId="1C89B321" w14:textId="77777777" w:rsidR="00067ECC"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b/>
          <w:bCs/>
          <w:kern w:val="2"/>
          <w:sz w:val="36"/>
          <w:szCs w:val="36"/>
        </w:rPr>
        <w:t xml:space="preserve"> 6.对策建议</w:t>
      </w:r>
    </w:p>
    <w:p w14:paraId="69A9B2C1" w14:textId="77777777" w:rsidR="00067EC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bCs/>
          <w:snapToGrid w:val="0"/>
          <w:color w:val="000000"/>
          <w:kern w:val="0"/>
          <w:sz w:val="30"/>
          <w:szCs w:val="30"/>
        </w:rPr>
        <w:t xml:space="preserve"> 6.1 对平台：增加用户控制选项、定期推送跨圈内容</w:t>
      </w:r>
    </w:p>
    <w:p w14:paraId="2E3B980A"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基于研究发现，平台应从以下方面优化设计：首先，增加用户控制选项的丰富性与可及性，如设置“减少同类推荐”滑块、“临时探索模式”等精细化控制工具。其次，定期向用户推送跨圈层内容，以“今日推荐新领域”等形式主动引导用户拓展信息视野。再次，提升“茧房评估”等功能的可视化程度，让用户直观感知自身信息环境的多样性状况。最后，优化“不感兴趣”等负反馈机制的灵敏度与即时反馈，增强用户对自身行为效果的感知。</w:t>
      </w:r>
    </w:p>
    <w:p w14:paraId="3F449020" w14:textId="77777777" w:rsidR="00067EC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bCs/>
          <w:snapToGrid w:val="0"/>
          <w:color w:val="000000"/>
          <w:kern w:val="0"/>
          <w:sz w:val="30"/>
          <w:szCs w:val="30"/>
        </w:rPr>
        <w:t xml:space="preserve"> 6.2 对用户：提升数字素养，养成主动搜索与跨圈浏览习惯</w:t>
      </w:r>
    </w:p>
    <w:p w14:paraId="4459E2F5"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用户层面的建议核心在于数字素养的提升。用户应意识到自己是信息环境的共同建构者，而非被动的信息接受者。具体而言：第一，养成主动搜索的习惯，带着问题使用平台，而非漫无目的地刷视频；第二，积极使用“不感兴趣”等负反馈功能，主动“驯化”算法；第三，</w:t>
      </w:r>
      <w:r>
        <w:rPr>
          <w:rFonts w:ascii="Songti SC Regular" w:eastAsia="Songti SC Regular" w:hAnsi="Songti SC Regular" w:cs="Songti SC Regular"/>
          <w:sz w:val="24"/>
        </w:rPr>
        <w:lastRenderedPageBreak/>
        <w:t>有意识地跨圈层浏览，主动接触与自己立场、兴趣不同的内容；第四，定期审视自己的信息环境，判断是否陷入了过度同质化的状态。</w:t>
      </w:r>
    </w:p>
    <w:p w14:paraId="4764A7D8" w14:textId="77777777" w:rsidR="00067EC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bCs/>
          <w:snapToGrid w:val="0"/>
          <w:color w:val="000000"/>
          <w:kern w:val="0"/>
          <w:sz w:val="30"/>
          <w:szCs w:val="30"/>
        </w:rPr>
        <w:t xml:space="preserve"> 6.3 对监管：将算法透明度和用户控制权纳入《互联网信息服务算法推荐管理规定》的更新</w:t>
      </w:r>
    </w:p>
    <w:p w14:paraId="7B87F74F"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在监管层面，建议将算法透明度与用户控制权作为《互联网信息服务算法推荐管理规定》后续更新的重要方向。具体可考虑：第一，强制要求平台公开核心推荐逻辑与用户干预机制，保障用户的知情权；第二，规定平台必须提供“一键破茧”等基本的用户控制工具，并将其纳入合规评估指标；第三，建立第三方评估机制，定期对主流平台的推荐内容多样性进行审计；第四，鼓励平台开展算法透明度试点，探索差异化、可量化的多样性评价标准。</w:t>
      </w:r>
    </w:p>
    <w:p w14:paraId="2A279CD8" w14:textId="77777777" w:rsidR="00067ECC"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b/>
          <w:bCs/>
          <w:kern w:val="2"/>
          <w:sz w:val="36"/>
          <w:szCs w:val="36"/>
        </w:rPr>
        <w:t xml:space="preserve"> 7.结论</w:t>
      </w:r>
    </w:p>
    <w:p w14:paraId="4CB8C9C8"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本研究以抖音和小红书为研究对象，通过半结构化访谈与使用日志分析相结合的方法，对算法推荐与信息茧房的关系进行了实证考察。研究发现，算法推荐并非信息茧房的充分条件——部分用户因推荐算法发现了全新的兴趣领域，信息多样性反而得到拓展；信息茧房的效应更集中地出现在被动使用、低干预习惯的用户群体中；平台的算法机制差异显著影响信息多样性，小红书的“搜索+推荐”混合模式表现出更弱的茧房效应；用户的主动干预行为能够显著缓解内容同质化。</w:t>
      </w:r>
    </w:p>
    <w:p w14:paraId="6821EA26"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这些发现共同指向一个核心判断：信息茧房的生成不是算法单方面作用的结果，而是用户行为与算法反馈共同构成的循环过程。因此，破解“信息茧房”的关键不在于简单批判或限制算法，而在于构建“人机协同”的良性互动生态——平台提供充分的控制工具与透明度，用户发挥能动性主动管理信息环境，监管则提供制度框架与评估标准。</w:t>
      </w:r>
    </w:p>
    <w:p w14:paraId="7820B49A" w14:textId="77777777" w:rsidR="00067EC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sz w:val="24"/>
        </w:rPr>
        <w:t>本研究也存在一定局限。样本规模相对有限（20名用户），虽然通过日志分析获取了</w:t>
      </w:r>
      <w:r>
        <w:rPr>
          <w:rFonts w:ascii="Songti SC Regular" w:eastAsia="Songti SC Regular" w:hAnsi="Songti SC Regular" w:cs="Songti SC Regular"/>
          <w:sz w:val="24"/>
        </w:rPr>
        <w:lastRenderedPageBreak/>
        <w:t>细颗粒度的行为数据，但结论的外部效度仍有待更大范围样本的检验。此外，研究主要依赖自我报告数据，未来可结合平台API数据或大规模审计实验，对算法推荐的实际效果进行更精确的测量。未来的研究还可以进一步探索不同类型用户的分类干预策略，以及生成式AI对信息茧房效应的潜在影响。</w:t>
      </w:r>
    </w:p>
    <w:p w14:paraId="19BD815E" w14:textId="77777777" w:rsidR="00067ECC"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sz w:val="36"/>
          <w:szCs w:val="36"/>
        </w:rPr>
        <w:t>参考文献</w:t>
      </w:r>
    </w:p>
    <w:p w14:paraId="1618AB93" w14:textId="77777777" w:rsidR="00067ECC"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[1] 于立业, 郭宏樟, 张璐洋. 平台用户信息茧房的行为特征测量研究——基于“渠道-话题-观点”三维行为的实证构念[J]. 中国编辑, 2025(12): 49-56.</w:t>
      </w:r>
      <w:hyperlink r:id="rId8" w:tgtFrame="/Users/liuyinian/Documents\x/_blank" w:history="1"/>
    </w:p>
    <w:p w14:paraId="4B7AD143" w14:textId="77777777" w:rsidR="00067ECC"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[2] 李武, 艾鹏亚, 杨韫卿. 智媒时代“信息茧房”再论：概念界定和效应探讨[J]. 未来传播, 2019(6): 7-13.</w:t>
      </w:r>
      <w:hyperlink r:id="rId9" w:tgtFrame="/Users/liuyinian/Documents\x/_blank" w:history="1"/>
    </w:p>
    <w:p w14:paraId="41BACD48" w14:textId="77777777" w:rsidR="00067ECC"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[3] 喻国明, 曲慧. “信息茧房”的误读与算法推送的必要——兼论内容分发中社会伦理困境的解决之道[J]. 新疆师范大学学报(哲学社会科学版), 2020(1): 127-133.</w:t>
      </w:r>
      <w:hyperlink r:id="rId10" w:tgtFrame="/Users/liuyinian/Documents\x/_blank" w:history="1"/>
    </w:p>
    <w:p w14:paraId="36622A1C" w14:textId="77777777" w:rsidR="00067ECC"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[4] 邓秀军, 等. 心理图式在应对推荐系统用户过度特化问题中的作用：基于机器学习的实证研究[J]. 图书与情报, 2024(4).</w:t>
      </w:r>
      <w:hyperlink r:id="rId11" w:tgtFrame="/Users/liuyinian/Documents\x/_blank" w:history="1"/>
    </w:p>
    <w:p w14:paraId="6EF63DAD" w14:textId="77777777" w:rsidR="00067ECC"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[5] 王汉生, 等. 应对行为视角下算法推荐内容相似性对App持续使用的影响[J]. 南开管理评论, 2023(3).</w:t>
      </w:r>
      <w:hyperlink r:id="rId12" w:tgtFrame="/Users/liuyinian/Documents\x/_blank" w:history="1"/>
    </w:p>
    <w:p w14:paraId="77A8F6F4" w14:textId="77777777" w:rsidR="00067ECC"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[6] 王婉秋. 短视频平台算法分发机制带来的信息茧房问题分析——以抖音平台为例[J]. 声屏世界, 2023(12).</w:t>
      </w:r>
      <w:hyperlink r:id="rId13" w:tgtFrame="/Users/liuyinian/Documents\x/_blank" w:history="1"/>
    </w:p>
    <w:p w14:paraId="2816D811" w14:textId="77777777" w:rsidR="00067ECC"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[7] 张欣, 等. 数字平台的“破茧”策略——基于抖音与快手的对比研究[J]. 声屏世界, 2022(10).</w:t>
      </w:r>
      <w:hyperlink r:id="rId14" w:tgtFrame="/Users/liuyinian/Documents\x/_blank" w:history="1"/>
    </w:p>
    <w:p w14:paraId="0F6BCD89" w14:textId="77777777" w:rsidR="00067ECC"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[8] 陈宇轩. 抖音算法推荐机制的局限与对策分析[J]. 新媒体研究, 2019(2).</w:t>
      </w:r>
      <w:hyperlink r:id="rId15" w:tgtFrame="/Users/liuyinian/Documents\x/_blank" w:history="1"/>
    </w:p>
    <w:p w14:paraId="35B8AD94" w14:textId="77777777" w:rsidR="00067ECC"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[9] 刘涛, 等. 想象的中介：大学生用户对小红书个性化推荐算法的态度研究[J]. 中国传媒科技, 2023(11).</w:t>
      </w:r>
      <w:hyperlink r:id="rId16" w:tgtFrame="/Users/liuyinian/Documents\x/_blank" w:history="1"/>
    </w:p>
    <w:p w14:paraId="08E7D212" w14:textId="77777777" w:rsidR="00067ECC"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lastRenderedPageBreak/>
        <w:t>[10] 周洁, 等. 算法的成瘾机制、伦理问题及其抵抗策略探究——以小红书App为例[J]. 科技传播, 2023(17).</w:t>
      </w:r>
      <w:hyperlink r:id="rId17" w:tgtFrame="/Users/liuyinian/Documents\x/_blank" w:history="1"/>
    </w:p>
    <w:p w14:paraId="4072C512" w14:textId="77777777" w:rsidR="00067ECC"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[11] 刘晓燕, 等. 驯化抑或互构——社交平台“数字灵工”的算法实践[J]. 探索与争鸣, 2023(5).</w:t>
      </w:r>
      <w:hyperlink r:id="rId18" w:tgtFrame="/Users/liuyinian/Documents\x/_blank" w:history="1"/>
    </w:p>
    <w:p w14:paraId="0DFF16CA" w14:textId="77777777" w:rsidR="00067ECC"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[12] 张志安, 等. 弹性化边界：智能推荐算法中信息茧房的动态调适与管理路径[J]. 传媒观察, 2025(8).</w:t>
      </w:r>
      <w:hyperlink r:id="rId19" w:tgtFrame="/Users/liuyinian/Documents\x/_blank" w:history="1"/>
    </w:p>
    <w:p w14:paraId="0E19EF4B" w14:textId="77777777" w:rsidR="00067ECC"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[13] 王芳, 等. 接受、回避与适应：社交媒体用户的算法应对研究[J]. 情报理论与实践, 2024(11).</w:t>
      </w:r>
      <w:hyperlink r:id="rId20" w:tgtFrame="/Users/liuyinian/Documents\x/_blank" w:history="1"/>
    </w:p>
    <w:p w14:paraId="13FDD4A9" w14:textId="77777777" w:rsidR="00067ECC"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[14] 陈昌凤, 等. 算法透明度的理论反思与制度建构[J]. 华中科技大学学报(社会科学版), 2023(6).</w:t>
      </w:r>
      <w:hyperlink r:id="rId21" w:tgtFrame="/Users/liuyinian/Documents\x/_blank" w:history="1"/>
    </w:p>
    <w:p w14:paraId="0BD404A8" w14:textId="77777777" w:rsidR="00067ECC"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[15] Dubois E, Blank G. The echo chamber is overstated: the moderating effect of political interest and diverse media[J]. Information, Communication &amp; Society, 2018, 21(5): 729-745.</w:t>
      </w:r>
      <w:hyperlink r:id="rId22" w:tgtFrame="/Users/liuyinian/Documents\x/_blank" w:history="1"/>
    </w:p>
    <w:p w14:paraId="5FC3496A" w14:textId="77777777" w:rsidR="00067ECC"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[16] Flaxman S, Goel S, Rao J M. Filter Bubbles, Echo Chambers, and Online News Consumption[J]. Public Opinion Quarterly, 2016, 80(S1): 298-320.</w:t>
      </w:r>
    </w:p>
    <w:p w14:paraId="61E46409" w14:textId="77777777" w:rsidR="00067ECC"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 xml:space="preserve">[17] Nguyen T </w:t>
      </w:r>
      <w:proofErr w:type="spellStart"/>
      <w:r>
        <w:rPr>
          <w:rFonts w:ascii="Times New Roman Regular" w:eastAsia="Songti SC Regular" w:hAnsi="Times New Roman Regular" w:cs="Times New Roman Regular"/>
        </w:rPr>
        <w:t>T</w:t>
      </w:r>
      <w:proofErr w:type="spellEnd"/>
      <w:r>
        <w:rPr>
          <w:rFonts w:ascii="Times New Roman Regular" w:eastAsia="Songti SC Regular" w:hAnsi="Times New Roman Regular" w:cs="Times New Roman Regular"/>
        </w:rPr>
        <w:t>, Hui P M, Harper F M, et al. Exploring the Filter Bubble: The Effect of Using Recommender Systems on Content Diversity[C]//Proceedings of the 23rd International Conference on World Wide Web, 2014: 677-686.</w:t>
      </w:r>
    </w:p>
    <w:p w14:paraId="11DEA921" w14:textId="77777777" w:rsidR="00067ECC"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 xml:space="preserve">[18] </w:t>
      </w:r>
      <w:proofErr w:type="spellStart"/>
      <w:r>
        <w:rPr>
          <w:rFonts w:ascii="Times New Roman Regular" w:eastAsia="Songti SC Regular" w:hAnsi="Times New Roman Regular" w:cs="Times New Roman Regular"/>
        </w:rPr>
        <w:t>Bakshy</w:t>
      </w:r>
      <w:proofErr w:type="spellEnd"/>
      <w:r>
        <w:rPr>
          <w:rFonts w:ascii="Times New Roman Regular" w:eastAsia="Songti SC Regular" w:hAnsi="Times New Roman Regular" w:cs="Times New Roman Regular"/>
        </w:rPr>
        <w:t xml:space="preserve"> E, Messing S, Adamic L A. Exposure to Ideologically Diverse News and Opinion on Facebook[J]. Science, 2015, 348(6239): 1130-1132.</w:t>
      </w:r>
    </w:p>
    <w:p w14:paraId="260B1422" w14:textId="77777777" w:rsidR="00067ECC" w:rsidRDefault="00067ECC">
      <w:pPr>
        <w:pStyle w:val="a5"/>
        <w:widowControl/>
        <w:spacing w:beforeAutospacing="0" w:afterAutospacing="0" w:line="360" w:lineRule="auto"/>
        <w:jc w:val="both"/>
        <w:rPr>
          <w:rFonts w:ascii="Times New Roman Regular" w:eastAsia="Songti SC Regular" w:hAnsi="Times New Roman Regular" w:cs="Times New Roman Regular"/>
        </w:rPr>
      </w:pPr>
    </w:p>
    <w:sectPr w:rsidR="00067ECC">
      <w:headerReference w:type="first" r:id="rId23"/>
      <w:footerReference w:type="first" r:id="rId24"/>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8B07F" w14:textId="77777777" w:rsidR="00B22AD1" w:rsidRDefault="00B22AD1">
      <w:r>
        <w:separator/>
      </w:r>
    </w:p>
  </w:endnote>
  <w:endnote w:type="continuationSeparator" w:id="0">
    <w:p w14:paraId="32AB589D" w14:textId="77777777" w:rsidR="00B22AD1" w:rsidRDefault="00B2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Songti SC Regular">
    <w:altName w:val="Songti SC"/>
    <w:panose1 w:val="02010600040101010101"/>
    <w:charset w:val="86"/>
    <w:family w:val="auto"/>
    <w:pitch w:val="variable"/>
    <w:sig w:usb0="00000287" w:usb1="080F0000" w:usb2="00000010" w:usb3="00000000" w:csb0="0004009F" w:csb1="00000000"/>
  </w:font>
  <w:font w:name="Times New Roman Regular">
    <w:altName w:val="Times New Roman"/>
    <w:panose1 w:val="020B0604020202020204"/>
    <w:charset w:val="00"/>
    <w:family w:val="auto"/>
    <w:pitch w:val="default"/>
    <w:sig w:usb0="E0000AFF" w:usb1="00007843" w:usb2="00000001" w:usb3="00000000" w:csb0="400001BF" w:csb1="DFF7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0BE2" w14:textId="77777777" w:rsidR="00067ECC"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31A15" w14:textId="77777777" w:rsidR="00B22AD1" w:rsidRDefault="00B22AD1">
      <w:r>
        <w:separator/>
      </w:r>
    </w:p>
  </w:footnote>
  <w:footnote w:type="continuationSeparator" w:id="0">
    <w:p w14:paraId="1EA44609" w14:textId="77777777" w:rsidR="00B22AD1" w:rsidRDefault="00B22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52AB" w14:textId="77777777" w:rsidR="00067ECC" w:rsidRDefault="00000000">
    <w:r>
      <w:rPr>
        <w:noProof/>
      </w:rPr>
      <w:drawing>
        <wp:anchor distT="0" distB="0" distL="114300" distR="114300" simplePos="0" relativeHeight="251663360" behindDoc="1" locked="0" layoutInCell="1" allowOverlap="1" wp14:anchorId="28284157" wp14:editId="2B5F5CA1">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047164E8" wp14:editId="0D38D8A6">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58DC0CE7" wp14:editId="0CE7E764">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新十本封面设计/封面/JPG/数字传播与新媒体学刊.001.jpeg数字传播与新媒体学刊.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新十本封面设计/封面/JPG/数字传播与新媒体学刊.001.jpeg数字传播与新媒体学刊.001"/>
                  <pic:cNvPicPr>
                    <a:picLocks noChangeAspect="1"/>
                  </pic:cNvPicPr>
                </pic:nvPicPr>
                <pic:blipFill>
                  <a:blip r:embed="rId2"/>
                  <a:srcRect t="5512" b="5512"/>
                  <a:stretch>
                    <a:fillRect/>
                  </a:stretch>
                </pic:blipFill>
                <pic:spPr>
                  <a:xfrm>
                    <a:off x="0" y="0"/>
                    <a:ext cx="731520" cy="976630"/>
                  </a:xfrm>
                  <a:prstGeom prst="rect">
                    <a:avLst/>
                  </a:prstGeom>
                </pic:spPr>
              </pic:pic>
            </a:graphicData>
          </a:graphic>
        </wp:anchor>
      </w:drawing>
    </w:r>
  </w:p>
  <w:p w14:paraId="0DFF216C" w14:textId="77777777" w:rsidR="00067ECC" w:rsidRDefault="00067ECC">
    <w:pPr>
      <w:spacing w:line="300" w:lineRule="exact"/>
      <w:jc w:val="center"/>
      <w:rPr>
        <w:rFonts w:ascii="Arial Bold" w:hAnsi="Arial Bold" w:cs="Arial Bold"/>
        <w:b/>
        <w:bCs/>
        <w:sz w:val="28"/>
        <w:szCs w:val="28"/>
      </w:rPr>
    </w:pPr>
  </w:p>
  <w:p w14:paraId="0FB1E1A9" w14:textId="77777777" w:rsidR="00067ECC" w:rsidRDefault="00000000">
    <w:pPr>
      <w:spacing w:line="300" w:lineRule="exact"/>
      <w:jc w:val="center"/>
      <w:rPr>
        <w:rFonts w:ascii="Arial Bold" w:hAnsi="Arial Bold" w:cs="Arial Bold"/>
        <w:b/>
        <w:bCs/>
        <w:sz w:val="28"/>
        <w:szCs w:val="28"/>
      </w:rPr>
    </w:pPr>
    <w:r>
      <w:rPr>
        <w:rFonts w:ascii="Arial Bold" w:hAnsi="Arial Bold" w:cs="Arial Bold" w:hint="eastAsia"/>
        <w:b/>
        <w:bCs/>
        <w:sz w:val="28"/>
        <w:szCs w:val="28"/>
      </w:rPr>
      <w:t>数字传媒与新媒体学刊</w:t>
    </w:r>
  </w:p>
  <w:p w14:paraId="362AD76D" w14:textId="77777777" w:rsidR="00067ECC"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249751EE" w14:textId="77777777" w:rsidR="00067ECC" w:rsidRDefault="00000000">
    <w:pPr>
      <w:pStyle w:val="a4"/>
    </w:pPr>
    <w:r>
      <w:rPr>
        <w:noProof/>
        <w:sz w:val="21"/>
      </w:rPr>
      <mc:AlternateContent>
        <mc:Choice Requires="wps">
          <w:drawing>
            <wp:anchor distT="0" distB="0" distL="114300" distR="114300" simplePos="0" relativeHeight="251660288" behindDoc="0" locked="0" layoutInCell="1" allowOverlap="1" wp14:anchorId="37A4A944" wp14:editId="42FE698C">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35240384" wp14:editId="41A7A8C2">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2251429">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067ECC"/>
    <w:rsid w:val="002D1D8D"/>
    <w:rsid w:val="006C4E9A"/>
    <w:rsid w:val="00840E57"/>
    <w:rsid w:val="008D2971"/>
    <w:rsid w:val="00A33CDF"/>
    <w:rsid w:val="00B22AD1"/>
    <w:rsid w:val="00D40F34"/>
    <w:rsid w:val="07932D1A"/>
    <w:rsid w:val="1D3FBA3D"/>
    <w:rsid w:val="1EF500CB"/>
    <w:rsid w:val="25FFF9BA"/>
    <w:rsid w:val="2F7F5239"/>
    <w:rsid w:val="36FFA850"/>
    <w:rsid w:val="3CDBD7E2"/>
    <w:rsid w:val="5BF99B6A"/>
    <w:rsid w:val="5D3E1CF9"/>
    <w:rsid w:val="5F5FB818"/>
    <w:rsid w:val="63FF1276"/>
    <w:rsid w:val="65EFFA90"/>
    <w:rsid w:val="6ACB628C"/>
    <w:rsid w:val="6BCE13D6"/>
    <w:rsid w:val="6E5ACB68"/>
    <w:rsid w:val="6EF746DF"/>
    <w:rsid w:val="6FFF2BDE"/>
    <w:rsid w:val="6FFF4DAC"/>
    <w:rsid w:val="7067ED24"/>
    <w:rsid w:val="73FB62E0"/>
    <w:rsid w:val="777D90FA"/>
    <w:rsid w:val="7ACBF71A"/>
    <w:rsid w:val="7BDFE9DA"/>
    <w:rsid w:val="7BEFB2E1"/>
    <w:rsid w:val="7BF79E9D"/>
    <w:rsid w:val="7BF84451"/>
    <w:rsid w:val="7DBF2CF4"/>
    <w:rsid w:val="7EFC9753"/>
    <w:rsid w:val="7F3B6FDE"/>
    <w:rsid w:val="7F79930D"/>
    <w:rsid w:val="7FA40F30"/>
    <w:rsid w:val="7FC604A9"/>
    <w:rsid w:val="7FEB5819"/>
    <w:rsid w:val="7FEE1117"/>
    <w:rsid w:val="7FFFF9A3"/>
    <w:rsid w:val="9EDB079C"/>
    <w:rsid w:val="AB944322"/>
    <w:rsid w:val="AFAFA382"/>
    <w:rsid w:val="B07DCD42"/>
    <w:rsid w:val="BDEFE631"/>
    <w:rsid w:val="BDFD2BF0"/>
    <w:rsid w:val="BEBB03B2"/>
    <w:rsid w:val="BF5F9896"/>
    <w:rsid w:val="BFBB0C55"/>
    <w:rsid w:val="BFF9282D"/>
    <w:rsid w:val="C0FFD7FB"/>
    <w:rsid w:val="CFE3BB63"/>
    <w:rsid w:val="D3733AD2"/>
    <w:rsid w:val="D99C089A"/>
    <w:rsid w:val="DC3FC214"/>
    <w:rsid w:val="DCE76550"/>
    <w:rsid w:val="DCFF57FC"/>
    <w:rsid w:val="DF6AD702"/>
    <w:rsid w:val="DFB7325A"/>
    <w:rsid w:val="E7D743A4"/>
    <w:rsid w:val="EFED40E2"/>
    <w:rsid w:val="EFEFA618"/>
    <w:rsid w:val="EFEFDAA6"/>
    <w:rsid w:val="F49D2C55"/>
    <w:rsid w:val="F59B56A3"/>
    <w:rsid w:val="FB8EBC52"/>
    <w:rsid w:val="FBF79B4D"/>
    <w:rsid w:val="FBFB64BA"/>
    <w:rsid w:val="FCFDCDEC"/>
    <w:rsid w:val="FDF4B8A1"/>
    <w:rsid w:val="FEFFE012"/>
    <w:rsid w:val="FFBFDBF4"/>
    <w:rsid w:val="FFEF52B8"/>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D8AFEA8"/>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 w:cstheme="minorBidi"/>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eastAsia="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jzg.cbpt.cnki.net/portal/journal/portal/client/paper/f8fb3531866fa5d6f40fb6ecb16aad64" TargetMode="External"/><Relationship Id="rId13" Type="http://schemas.openxmlformats.org/officeDocument/2006/relationships/hyperlink" Target="https://wap.cnki.net/touch/web/Journal/Article/SPSJ202312033.html" TargetMode="External"/><Relationship Id="rId18" Type="http://schemas.openxmlformats.org/officeDocument/2006/relationships/hyperlink" Target="https://wap.cnki.net/touch/web/Journal/Article/TSZM202305006.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ead.cnki.net/web/Journal/Article/HZLS202306004.html" TargetMode="External"/><Relationship Id="rId7" Type="http://schemas.openxmlformats.org/officeDocument/2006/relationships/endnotes" Target="endnotes.xml"/><Relationship Id="rId12" Type="http://schemas.openxmlformats.org/officeDocument/2006/relationships/hyperlink" Target="https://read.cnki.net/web/Journal/Article/LKGP202303015.html" TargetMode="External"/><Relationship Id="rId17" Type="http://schemas.openxmlformats.org/officeDocument/2006/relationships/hyperlink" Target="https://mall.cnki.net/magazine/article/KJCB202317030.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ad.cnki.net/web/Journal/Article/CMKJ202311018.html" TargetMode="External"/><Relationship Id="rId20" Type="http://schemas.openxmlformats.org/officeDocument/2006/relationships/hyperlink" Target="https://wap.cnki.net/touch/web/Journal/List/QBLL20241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ad.cnki.net/web/Journal/Article/BOOK202404011.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ap.cnki.net/touch/web/Journal/Article/XMTJ201902012.html" TargetMode="External"/><Relationship Id="rId23" Type="http://schemas.openxmlformats.org/officeDocument/2006/relationships/header" Target="header1.xml"/><Relationship Id="rId10" Type="http://schemas.openxmlformats.org/officeDocument/2006/relationships/hyperlink" Target="https://bjzg.cbpt.cnki.net/portal/journal/portal/client/paper/f8fb3531866fa5d6f40fb6ecb16aad64" TargetMode="External"/><Relationship Id="rId19" Type="http://schemas.openxmlformats.org/officeDocument/2006/relationships/hyperlink" Target="https://wap.cnki.net/touch/web/Journal/List/CMGC202508.html" TargetMode="External"/><Relationship Id="rId4" Type="http://schemas.openxmlformats.org/officeDocument/2006/relationships/settings" Target="settings.xml"/><Relationship Id="rId9" Type="http://schemas.openxmlformats.org/officeDocument/2006/relationships/hyperlink" Target="https://bjzg.cbpt.cnki.net/portal/journal/portal/client/paper/f8fb3531866fa5d6f40fb6ecb16aad64" TargetMode="External"/><Relationship Id="rId14" Type="http://schemas.openxmlformats.org/officeDocument/2006/relationships/hyperlink" Target="https://wap.cnki.net/touch/web/Journal/Article/SPSJ202210031.html" TargetMode="External"/><Relationship Id="rId22" Type="http://schemas.openxmlformats.org/officeDocument/2006/relationships/hyperlink" Target="https://bjzg.cbpt.cnki.net/portal/journal/portal/client/paper/f8fb3531866fa5d6f40fb6ecb16aad6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5603</Words>
  <Characters>6221</Characters>
  <Application>Microsoft Office Word</Application>
  <DocSecurity>0</DocSecurity>
  <Lines>200</Lines>
  <Paragraphs>118</Paragraphs>
  <ScaleCrop>false</ScaleCrop>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2026-03-25T01:06:00Z</dcterms:created>
  <dcterms:modified xsi:type="dcterms:W3CDTF">2026-04-13T09:13:00Z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