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511F3" w14:textId="77777777" w:rsidR="00B63DF3" w:rsidRDefault="00B63DF3">
      <w:pPr>
        <w:spacing w:after="120"/>
        <w:rPr>
          <w:rFonts w:ascii="黑体" w:eastAsia="黑体" w:hAnsi="黑体" w:cs="黑体"/>
          <w:sz w:val="44"/>
          <w:szCs w:val="44"/>
        </w:rPr>
      </w:pPr>
    </w:p>
    <w:p w14:paraId="67FE56BD" w14:textId="77777777" w:rsidR="00B63DF3" w:rsidRDefault="00000000">
      <w:pPr>
        <w:spacing w:after="120"/>
        <w:jc w:val="center"/>
        <w:rPr>
          <w:rFonts w:ascii="黑体" w:eastAsia="黑体" w:hAnsi="黑体" w:cs="黑体"/>
          <w:sz w:val="44"/>
          <w:szCs w:val="44"/>
        </w:rPr>
      </w:pPr>
      <w:r>
        <w:rPr>
          <w:rFonts w:ascii="黑体" w:eastAsia="黑体" w:hAnsi="黑体" w:cs="黑体" w:hint="eastAsia"/>
          <w:sz w:val="44"/>
          <w:szCs w:val="44"/>
        </w:rPr>
        <w:t>智能学习环境下大学生认知负荷与情绪调节的交互作用对学习满意度的预测研究</w:t>
      </w:r>
    </w:p>
    <w:p w14:paraId="23528B18" w14:textId="39D56638" w:rsidR="00B63DF3" w:rsidRDefault="004E7E86">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潘俊杰</w:t>
      </w:r>
    </w:p>
    <w:p w14:paraId="30AEE9EB" w14:textId="08D01063" w:rsidR="00B63DF3" w:rsidRDefault="004E7E86">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shd w:val="clear" w:color="auto" w:fill="FFFFFF"/>
        </w:rPr>
        <w:t>安徽师范大学</w:t>
      </w:r>
    </w:p>
    <w:p w14:paraId="415099D0" w14:textId="7C62064F" w:rsidR="00B63DF3"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4E7E86">
        <w:rPr>
          <w:rFonts w:ascii="Songti SC Bold" w:eastAsia="Songti SC Bold" w:hAnsi="Songti SC Bold" w:cs="Songti SC Bold" w:hint="eastAsia"/>
          <w:sz w:val="18"/>
          <w:szCs w:val="18"/>
          <w:shd w:val="clear" w:color="auto" w:fill="FFFFFF"/>
        </w:rPr>
        <w:t>潘俊杰</w:t>
      </w:r>
      <w:r>
        <w:rPr>
          <w:rFonts w:ascii="Songti SC Bold" w:eastAsia="Songti SC Bold" w:hAnsi="Songti SC Bold" w:cs="Songti SC Bold" w:hint="eastAsia"/>
          <w:sz w:val="18"/>
          <w:szCs w:val="18"/>
        </w:rPr>
        <w:t xml:space="preserve">   E-mail：</w:t>
      </w:r>
      <w:r w:rsidR="004E7E86">
        <w:rPr>
          <w:rFonts w:ascii="Songti SC Bold" w:eastAsia="Songti SC Bold" w:hAnsi="Songti SC Bold" w:cs="Songti SC Bold" w:hint="eastAsia"/>
          <w:sz w:val="18"/>
          <w:szCs w:val="18"/>
        </w:rPr>
        <w:t>7485968749@qq.com</w:t>
      </w:r>
    </w:p>
    <w:p w14:paraId="4C29984E" w14:textId="77777777" w:rsidR="00B63DF3" w:rsidRDefault="00B63DF3">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B63DF3" w14:paraId="0E29F203" w14:textId="77777777">
        <w:trPr>
          <w:trHeight w:val="385"/>
        </w:trPr>
        <w:tc>
          <w:tcPr>
            <w:tcW w:w="1680" w:type="pct"/>
            <w:tcBorders>
              <w:left w:val="nil"/>
              <w:bottom w:val="single" w:sz="4" w:space="0" w:color="auto"/>
              <w:right w:val="nil"/>
            </w:tcBorders>
            <w:vAlign w:val="center"/>
          </w:tcPr>
          <w:p w14:paraId="72C4B6B5" w14:textId="77777777" w:rsidR="00B63DF3"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7FA23DCE" w14:textId="77777777" w:rsidR="00B63DF3"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B63DF3" w14:paraId="76B5DE94" w14:textId="77777777">
        <w:trPr>
          <w:trHeight w:val="273"/>
        </w:trPr>
        <w:tc>
          <w:tcPr>
            <w:tcW w:w="1680" w:type="pct"/>
            <w:tcBorders>
              <w:top w:val="single" w:sz="4" w:space="0" w:color="auto"/>
              <w:left w:val="nil"/>
              <w:bottom w:val="nil"/>
              <w:right w:val="nil"/>
            </w:tcBorders>
            <w:vAlign w:val="center"/>
          </w:tcPr>
          <w:p w14:paraId="7A361F66" w14:textId="77777777" w:rsidR="00B63DF3"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095F82BF" w14:textId="77777777" w:rsidR="00B63DF3" w:rsidRDefault="00000000">
            <w:pPr>
              <w:spacing w:after="120"/>
              <w:jc w:val="left"/>
              <w:rPr>
                <w:rFonts w:ascii="楷体" w:eastAsia="楷体" w:hAnsi="楷体" w:cs="楷体"/>
                <w:szCs w:val="18"/>
              </w:rPr>
            </w:pPr>
            <w:r>
              <w:rPr>
                <w:rFonts w:ascii="楷体" w:eastAsia="楷体" w:hAnsi="楷体" w:cs="楷体" w:hint="eastAsia"/>
                <w:szCs w:val="18"/>
              </w:rPr>
              <w:t>随着人工智能技术的迅猛发展，智能学习环境（如AI辅导系统、VR虚拟课堂等）已在高等教育领域获得广泛应用。然而，此类环境中信息的丰富性和交互的复杂性可能给学习者带来较高的认知负荷，进而影响其学习体验与满意度。目前，学术界对认知负荷如何影响学习满意度的研究较为丰富，但对情绪调节策略在其中所起的调节作用关注不足。本研究以</w:t>
            </w:r>
            <w:proofErr w:type="spellStart"/>
            <w:r>
              <w:rPr>
                <w:rFonts w:ascii="楷体" w:eastAsia="楷体" w:hAnsi="楷体" w:cs="楷体" w:hint="eastAsia"/>
                <w:szCs w:val="18"/>
              </w:rPr>
              <w:t>Sweller</w:t>
            </w:r>
            <w:proofErr w:type="spellEnd"/>
            <w:r>
              <w:rPr>
                <w:rFonts w:ascii="楷体" w:eastAsia="楷体" w:hAnsi="楷体" w:cs="楷体" w:hint="eastAsia"/>
                <w:szCs w:val="18"/>
              </w:rPr>
              <w:t>的认知负荷理论和Gross的情绪调节过程模型为理论框架，采用问卷调查法对180名参与AI辅导系统学习任务的大学生进行施测，运用层次回归和简单斜率分析等方法，探究认知负荷（内在负荷、外在负荷、关联负荷）与情绪调节策略（认知重评、表达抑制）的交互作用对学习满意度的预测效应。结果发现：（1）外在认知负荷显著负向预测学习满意度，关联认知负荷显著正向预测学习满意度；（2）认知重评显著削弱外在认知负荷对学习满意度的负向影响；（3）表达抑制显著增强外在认知负荷的负向影响。研究表明，情绪调节策略是影响认知负荷与学习满意度关系的关键调节变量，适应性情绪调节策略能够在高认知负荷情境下发挥保护作用，而非适应性策略则可能加剧负面体验。本文为理解“为什么有些学生在高负荷环境下仍保持高满意度”提供了理论解释，并对智能学习系统的教学设计提出了实践建议。</w:t>
            </w:r>
          </w:p>
          <w:p w14:paraId="30278213" w14:textId="77777777" w:rsidR="00B63DF3" w:rsidRDefault="00B63DF3">
            <w:pPr>
              <w:spacing w:after="120"/>
              <w:jc w:val="left"/>
              <w:rPr>
                <w:rFonts w:ascii="楷体" w:eastAsia="楷体" w:hAnsi="楷体" w:cs="楷体"/>
                <w:szCs w:val="18"/>
              </w:rPr>
            </w:pPr>
          </w:p>
        </w:tc>
      </w:tr>
      <w:tr w:rsidR="00B63DF3" w14:paraId="61F4F4DB" w14:textId="77777777">
        <w:trPr>
          <w:trHeight w:val="763"/>
        </w:trPr>
        <w:tc>
          <w:tcPr>
            <w:tcW w:w="1680" w:type="pct"/>
            <w:tcBorders>
              <w:top w:val="nil"/>
              <w:left w:val="nil"/>
              <w:bottom w:val="nil"/>
              <w:right w:val="nil"/>
            </w:tcBorders>
            <w:vAlign w:val="center"/>
          </w:tcPr>
          <w:p w14:paraId="3A28BF23" w14:textId="77777777" w:rsidR="00B63DF3"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智能学习环境；认知负荷；情绪调节；学习满意度；交互作用</w:t>
            </w:r>
          </w:p>
        </w:tc>
        <w:tc>
          <w:tcPr>
            <w:tcW w:w="3319" w:type="pct"/>
            <w:vMerge/>
            <w:tcBorders>
              <w:top w:val="nil"/>
              <w:left w:val="nil"/>
              <w:right w:val="nil"/>
            </w:tcBorders>
            <w:vAlign w:val="center"/>
          </w:tcPr>
          <w:p w14:paraId="483986CB" w14:textId="77777777" w:rsidR="00B63DF3" w:rsidRDefault="00B63DF3">
            <w:pPr>
              <w:pStyle w:val="a4"/>
              <w:rPr>
                <w:rFonts w:cs="Times New Roman"/>
                <w:bCs/>
                <w:iCs/>
                <w:sz w:val="20"/>
                <w:szCs w:val="20"/>
              </w:rPr>
            </w:pPr>
          </w:p>
        </w:tc>
      </w:tr>
      <w:tr w:rsidR="00B63DF3" w14:paraId="22F680FB" w14:textId="77777777">
        <w:trPr>
          <w:trHeight w:val="246"/>
        </w:trPr>
        <w:tc>
          <w:tcPr>
            <w:tcW w:w="1680" w:type="pct"/>
            <w:tcBorders>
              <w:top w:val="nil"/>
              <w:left w:val="nil"/>
              <w:bottom w:val="nil"/>
              <w:right w:val="nil"/>
            </w:tcBorders>
            <w:vAlign w:val="center"/>
          </w:tcPr>
          <w:p w14:paraId="0D6270F8" w14:textId="77777777" w:rsidR="00B63DF3" w:rsidRDefault="00B63DF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49493CB" w14:textId="77777777" w:rsidR="00B63DF3" w:rsidRDefault="00B63DF3">
            <w:pPr>
              <w:pStyle w:val="a4"/>
              <w:rPr>
                <w:rFonts w:ascii="Times New Roman Bold" w:hAnsi="Times New Roman Bold" w:cs="Times New Roman Bold"/>
                <w:b/>
                <w:bCs/>
                <w:sz w:val="20"/>
                <w:szCs w:val="20"/>
              </w:rPr>
            </w:pPr>
          </w:p>
        </w:tc>
      </w:tr>
      <w:tr w:rsidR="00B63DF3" w14:paraId="03F77486" w14:textId="77777777">
        <w:trPr>
          <w:trHeight w:val="246"/>
        </w:trPr>
        <w:tc>
          <w:tcPr>
            <w:tcW w:w="1680" w:type="pct"/>
            <w:tcBorders>
              <w:top w:val="nil"/>
              <w:left w:val="nil"/>
              <w:bottom w:val="nil"/>
              <w:right w:val="nil"/>
            </w:tcBorders>
            <w:vAlign w:val="center"/>
          </w:tcPr>
          <w:p w14:paraId="65BED36E" w14:textId="77777777" w:rsidR="00B63DF3" w:rsidRDefault="00B63DF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4C21048" w14:textId="77777777" w:rsidR="00B63DF3" w:rsidRDefault="00B63DF3">
            <w:pPr>
              <w:pStyle w:val="a4"/>
              <w:rPr>
                <w:rFonts w:ascii="Times New Roman Bold" w:hAnsi="Times New Roman Bold" w:cs="Times New Roman Bold"/>
                <w:b/>
                <w:bCs/>
                <w:sz w:val="20"/>
                <w:szCs w:val="20"/>
              </w:rPr>
            </w:pPr>
          </w:p>
        </w:tc>
      </w:tr>
      <w:tr w:rsidR="00B63DF3" w14:paraId="62E4E900" w14:textId="77777777">
        <w:trPr>
          <w:trHeight w:val="320"/>
        </w:trPr>
        <w:tc>
          <w:tcPr>
            <w:tcW w:w="1680" w:type="pct"/>
            <w:tcBorders>
              <w:top w:val="nil"/>
              <w:left w:val="nil"/>
              <w:bottom w:val="nil"/>
              <w:right w:val="nil"/>
            </w:tcBorders>
            <w:vAlign w:val="center"/>
          </w:tcPr>
          <w:p w14:paraId="473DEE67" w14:textId="77777777" w:rsidR="00B63DF3" w:rsidRDefault="00B63DF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DEFC853" w14:textId="77777777" w:rsidR="00B63DF3" w:rsidRDefault="00B63DF3">
            <w:pPr>
              <w:pStyle w:val="a4"/>
              <w:rPr>
                <w:rFonts w:ascii="Times New Roman Bold" w:hAnsi="Times New Roman Bold" w:cs="Times New Roman Bold"/>
                <w:b/>
                <w:bCs/>
                <w:sz w:val="20"/>
                <w:szCs w:val="20"/>
              </w:rPr>
            </w:pPr>
          </w:p>
        </w:tc>
      </w:tr>
      <w:tr w:rsidR="00B63DF3" w14:paraId="7248CD3B" w14:textId="77777777">
        <w:trPr>
          <w:trHeight w:val="200"/>
        </w:trPr>
        <w:tc>
          <w:tcPr>
            <w:tcW w:w="1680" w:type="pct"/>
            <w:tcBorders>
              <w:top w:val="nil"/>
              <w:left w:val="nil"/>
              <w:bottom w:val="nil"/>
              <w:right w:val="nil"/>
            </w:tcBorders>
            <w:vAlign w:val="center"/>
          </w:tcPr>
          <w:p w14:paraId="02CB7E78" w14:textId="77777777" w:rsidR="00B63DF3" w:rsidRDefault="00B63DF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3BF706C" w14:textId="77777777" w:rsidR="00B63DF3" w:rsidRDefault="00B63DF3">
            <w:pPr>
              <w:pStyle w:val="a4"/>
              <w:rPr>
                <w:rFonts w:ascii="Times New Roman Bold" w:hAnsi="Times New Roman Bold" w:cs="Times New Roman Bold"/>
                <w:b/>
                <w:bCs/>
                <w:sz w:val="20"/>
                <w:szCs w:val="20"/>
              </w:rPr>
            </w:pPr>
          </w:p>
        </w:tc>
      </w:tr>
      <w:tr w:rsidR="00B63DF3" w14:paraId="0679F407" w14:textId="77777777">
        <w:trPr>
          <w:trHeight w:val="200"/>
        </w:trPr>
        <w:tc>
          <w:tcPr>
            <w:tcW w:w="1680" w:type="pct"/>
            <w:tcBorders>
              <w:top w:val="nil"/>
              <w:left w:val="nil"/>
              <w:bottom w:val="nil"/>
              <w:right w:val="nil"/>
            </w:tcBorders>
            <w:vAlign w:val="center"/>
          </w:tcPr>
          <w:p w14:paraId="6DF633C9" w14:textId="77777777" w:rsidR="00B63DF3" w:rsidRDefault="00B63DF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92DA0AE" w14:textId="77777777" w:rsidR="00B63DF3" w:rsidRDefault="00B63DF3">
            <w:pPr>
              <w:pStyle w:val="a4"/>
              <w:rPr>
                <w:rFonts w:ascii="Times New Roman Bold" w:hAnsi="Times New Roman Bold" w:cs="Times New Roman Bold"/>
                <w:b/>
                <w:bCs/>
                <w:sz w:val="20"/>
                <w:szCs w:val="20"/>
              </w:rPr>
            </w:pPr>
          </w:p>
        </w:tc>
      </w:tr>
      <w:tr w:rsidR="00B63DF3" w14:paraId="60E80121" w14:textId="77777777">
        <w:trPr>
          <w:trHeight w:val="200"/>
        </w:trPr>
        <w:tc>
          <w:tcPr>
            <w:tcW w:w="1680" w:type="pct"/>
            <w:tcBorders>
              <w:top w:val="nil"/>
              <w:left w:val="nil"/>
              <w:bottom w:val="single" w:sz="4" w:space="0" w:color="auto"/>
              <w:right w:val="nil"/>
            </w:tcBorders>
          </w:tcPr>
          <w:p w14:paraId="0F936898" w14:textId="77777777" w:rsidR="00B63DF3" w:rsidRDefault="00B63DF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5203D9A" w14:textId="77777777" w:rsidR="00B63DF3" w:rsidRDefault="00B63DF3">
            <w:pPr>
              <w:pStyle w:val="a4"/>
              <w:rPr>
                <w:rFonts w:ascii="Times New Roman Bold" w:hAnsi="Times New Roman Bold" w:cs="Times New Roman Bold"/>
                <w:b/>
                <w:bCs/>
                <w:sz w:val="20"/>
                <w:szCs w:val="20"/>
              </w:rPr>
            </w:pPr>
          </w:p>
        </w:tc>
      </w:tr>
    </w:tbl>
    <w:p w14:paraId="3F803411" w14:textId="77777777" w:rsidR="00B63DF3" w:rsidRDefault="00B63DF3">
      <w:pPr>
        <w:spacing w:after="240" w:line="360" w:lineRule="auto"/>
        <w:ind w:firstLineChars="200" w:firstLine="480"/>
        <w:rPr>
          <w:rFonts w:ascii="Songti SC Regular" w:eastAsia="Songti SC Regular" w:hAnsi="Songti SC Regular" w:cs="Songti SC Regular"/>
          <w:sz w:val="24"/>
        </w:rPr>
      </w:pPr>
    </w:p>
    <w:p w14:paraId="345A4B4A" w14:textId="77777777" w:rsidR="00B63DF3"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1</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引言</w:t>
      </w:r>
    </w:p>
    <w:p w14:paraId="07072AEE" w14:textId="77777777" w:rsidR="00B63DF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1.1 研究背景</w:t>
      </w:r>
    </w:p>
    <w:p w14:paraId="3906A628"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近年来，以人工智能为代表的新一代信息技术深刻重塑了高等教育的教学形态。虚拟现实（VR）课堂、AI辅导系统、自适应学习平台等智能学习环境逐渐进入大学课堂，为个性化学习和即时反馈提供了技术可能。据相关统计，全球已有超过900所大学开设了MOOC课程，注册学习者超过1亿人次。在中国，随着“人工智能+高等教育”政策的持续推进，越来越多的智能教学工具被引入日常教学实践中，智能学习环境已成为大学生学习的重要场域。</w:t>
      </w:r>
    </w:p>
    <w:p w14:paraId="4F212120"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智能学习环境在带来便利的同时，也对学习者的认知资源提出了更高要求。这类环境通常具有信息呈现多样、交互方式复杂、内容体量庞大等特点，学习者需要在短时间内处理大量信息，容易产生认知超载。研究表明，富媒体技术环境带来的认知负荷增加问题已引发学界广泛关注。在AI辅导系统中，学习者既要理解学科内容本身（如统计学的概念和公式），又要适应AI系统的操作逻辑和交互方式，这种“双重任务”进一步加剧了认知资源的紧张。</w:t>
      </w:r>
    </w:p>
    <w:p w14:paraId="4500A53D"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学习满意度作为衡量学习体验质量的关键指标，直接关系到学生的持续学习意愿和课程完成率。已有研究表明，在数字化学习环境中，认知负荷过高会降低学习者的满意度，而适度的关联认知负荷则有助于激发深度加工并提升满意度。然而，认知负荷与学习满意度之间的关系并非简单的线性关系。在相同的学习任务中，有些学生在高负荷环境下仍能保持较高的满意度和积极性，而另一些学生则容易产生挫败感和倦怠。这种个体差异提示我们，可能存在某种调节变量在认知负荷与学习满意度之间发挥着重要作用。</w:t>
      </w:r>
    </w:p>
    <w:p w14:paraId="44CFDC1E" w14:textId="77777777" w:rsidR="00B63DF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1.2 问题提出</w:t>
      </w:r>
    </w:p>
    <w:p w14:paraId="753C4542"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情绪调节可能是理解上述个体差异的关键切入点。学习活动本身就是一种情感与认知交织的过程。当学生面对复杂的智能学习任务时，会产生焦虑、挫败、好奇、成就感等多种情绪体验。这些情绪体验不仅影响学习者的即时感受，还可能通过影响认知资源的分配</w:t>
      </w:r>
      <w:r>
        <w:rPr>
          <w:rFonts w:ascii="Songti SC Regular" w:eastAsia="Songti SC Regular" w:hAnsi="Songti SC Regular" w:cs="Songti SC Regular" w:hint="eastAsia"/>
          <w:sz w:val="24"/>
        </w:rPr>
        <w:lastRenderedPageBreak/>
        <w:t>间接作用于学习效果。Gross的情绪调节过程模型将情绪调节策略分为两大类：认知重评（适应性策略）和表达抑制（非适应性策略）。前者指个体通过改变对情绪事件的理解来调节情绪反应，后者则指个体抑制情绪的外在表达。</w:t>
      </w:r>
    </w:p>
    <w:p w14:paraId="2439F76E"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尽管已有研究分别考察了认知负荷与学习满意度的关系、情绪调节与学业表现的关系，但将三者置于统一框架下考察交互作用的研究尚不多见。智能学习环境的特殊性——高信息密度与高交互性——使得认知负荷与情绪调节的交互作用更加凸显。具体而言，情绪调节策略可能改变个体对认知负荷的感知方式和应对方式，从而影响最终的学习满意度。例如，善于使用认知重评策略的学生可能将高负荷任务重新解读为“挑战”而非“威胁”，从而维持积极的情绪状态和学习体验；而倾向于使用表达抑制策略的学生则可能在压抑负面情绪的同时消耗额外认知资源，导致满意度进一步下降。</w:t>
      </w:r>
    </w:p>
    <w:p w14:paraId="5ED5F394" w14:textId="77777777" w:rsidR="00B63DF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1.3 研究意义</w:t>
      </w:r>
    </w:p>
    <w:p w14:paraId="50EE4C95"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具有理论和实践两方面的意义。在理论层面，通过将认知负荷理论与情绪调节理论整合到一个分析框架中，探讨两类心理变量在预测学习满意度时的交互效应，可以丰富智能学习环境下学习者心理机制的理论认识，回应“为什么在相同的认知负荷条件下，不同学习者的满意度存在显著差异”这一研究问题。在实践层面，研究结论可以为智能学习系统的教学设计提供实证依据，指导教师和学习平台开发者在课程设计中更有针对性地减少外在认知负荷，并在学习过程中嵌入情绪调节提示，提升学习者的整体学习体验。</w:t>
      </w:r>
    </w:p>
    <w:p w14:paraId="60FCC578" w14:textId="77777777" w:rsidR="00B63DF3"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2</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文献综述与研究假设</w:t>
      </w:r>
    </w:p>
    <w:p w14:paraId="5C308886" w14:textId="77777777" w:rsidR="00B63DF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认知负荷理论及其在教学情境中的应用</w:t>
      </w:r>
    </w:p>
    <w:p w14:paraId="4CF26727"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认知负荷理论（Cognitive Load Theory, CLT）由</w:t>
      </w:r>
      <w:proofErr w:type="spellStart"/>
      <w:r>
        <w:rPr>
          <w:rFonts w:ascii="Songti SC Regular" w:eastAsia="Songti SC Regular" w:hAnsi="Songti SC Regular" w:cs="Songti SC Regular" w:hint="eastAsia"/>
          <w:sz w:val="24"/>
        </w:rPr>
        <w:t>Sweller</w:t>
      </w:r>
      <w:proofErr w:type="spellEnd"/>
      <w:r>
        <w:rPr>
          <w:rFonts w:ascii="Songti SC Regular" w:eastAsia="Songti SC Regular" w:hAnsi="Songti SC Regular" w:cs="Songti SC Regular" w:hint="eastAsia"/>
          <w:sz w:val="24"/>
        </w:rPr>
        <w:t>于20世纪80年代提出，是教学设计领域最具影响力的理论框架之一。该理论基于工作记忆容量有限与长时记忆容量无限的认知结构模型，将学习过程中的认知负荷区分为三种类型：内在认知负荷、外在认知</w:t>
      </w:r>
      <w:r>
        <w:rPr>
          <w:rFonts w:ascii="Songti SC Regular" w:eastAsia="Songti SC Regular" w:hAnsi="Songti SC Regular" w:cs="Songti SC Regular" w:hint="eastAsia"/>
          <w:sz w:val="24"/>
        </w:rPr>
        <w:lastRenderedPageBreak/>
        <w:t>负荷和关联认知负荷。</w:t>
      </w:r>
    </w:p>
    <w:p w14:paraId="0A6C2148"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内在认知负荷由学习材料本身的复杂程度与学习者的先前知识水平交互决定。材料越复杂、学习者先前知识越少，内在认知负荷越高。教学设计者虽难以直接降低内在认知负荷，但可以通过分析学习者的认知起点来优化学习内容的呈现序列。外在认知负荷是指由教学设计或材料呈现方式中的冗余元素所产生的额外认知负担，例如页面中多余的装饰元素、不清晰的导航结构或无关的动画效果等。这种负荷与学习目标无关，应通过优化设计尽可能消除。关联认知负荷则指学习者将认知资源投入到图式建构和自动化过程中所产生的负荷，它有助于学习的深化和迁移，是学习过程中的积极成分。</w:t>
      </w:r>
    </w:p>
    <w:p w14:paraId="71458006"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多媒体学习和智能学习环境研究中，认知负荷理论已被广泛应用于解释学习效果与用户体验的差异。研究表明，在AI辅助学习环境中，AI工具的使用方式和用户感知的有用性显著影响学生的学习成果，而学生投入在其中起部分中介作用。另有研究指出，在使用生成式AI进行英语写作学习时，学生的认知负荷处于中等水平，而满意度则与学习动机密切相关。</w:t>
      </w:r>
    </w:p>
    <w:p w14:paraId="124D6137" w14:textId="77777777" w:rsidR="00B63DF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情绪调节的过程模型与策略分类</w:t>
      </w:r>
    </w:p>
    <w:p w14:paraId="3D973833"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情绪调节是指个体对“自己拥有哪些情绪、何时拥有这些情绪以及如何体验和表达这些情绪”施加影响的过程。Gross于1998年提出的情绪调节过程模型是这一领域最具影响力的理论框架。该模型将情绪调节划分为五个阶段：情境选择、情境修正、注意分配、认知改变和反应调整。其中，认知改变阶段的策略——特别是认知重评——被认为是情绪调节的核心策略；反应调整阶段的策略——特别是表达抑制——则被广泛研究。</w:t>
      </w:r>
    </w:p>
    <w:p w14:paraId="6D53BF5C"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认知重评是指在情绪产生之前，通过重新解释情绪情境的意义来改变情绪反应。研究表明，认知重评策略能有效减弱愤怒、悲伤和快乐情绪的主观体验，具有适应性的心理后果。表达抑制则是指在情绪已经产生之后，抑制情绪的外在表达行为。研究普遍认为，表</w:t>
      </w:r>
      <w:r>
        <w:rPr>
          <w:rFonts w:ascii="Songti SC Regular" w:eastAsia="Songti SC Regular" w:hAnsi="Songti SC Regular" w:cs="Songti SC Regular" w:hint="eastAsia"/>
          <w:sz w:val="24"/>
        </w:rPr>
        <w:lastRenderedPageBreak/>
        <w:t>达抑制是一种非适应性策略，它虽然在短期内可能维持社交规范，但会消耗额外的认知资源，并可能加剧负面情绪体验。有研究发现，认知重评与心理健康呈显著负相关，表达抑制与心理健康呈显著正相关，表明前者具有保护作用，后者则具有风险作用。</w:t>
      </w:r>
    </w:p>
    <w:p w14:paraId="40E12D86"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学业情境中，情绪调节策略与学业表现、学习动机和学习满意度密切相关。一项针对866名中国大学生的研究发现，认知重评和表达抑制均与学业成绩显著相关，自我效能感在其中起中介作用。另一项研究考察了情绪调节策略在AI支持的学习环境中的作用，发现情绪调节策略与学习体验呈正相关，与学业失活呈负相关。</w:t>
      </w:r>
    </w:p>
    <w:p w14:paraId="199C4653" w14:textId="77777777" w:rsidR="00B63DF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 学习满意度的影响因素</w:t>
      </w:r>
    </w:p>
    <w:p w14:paraId="1B428D0F"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学习满意度是学习者对学习经历的整体评价和情感反应，被广泛视为衡量教学质量、预测持续学习意愿和评估学习体验的核心指标。在数字化和智能化学习环境中，影响学习满意度的因素呈现出多元化的特征。</w:t>
      </w:r>
    </w:p>
    <w:p w14:paraId="632A470C"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智能学习环境中，学习环境感知、师生互动、生生互动和学习成果是影响满意度的关键维度。一项基于402名大学生的研究表明，学习环境虽不直接影响满意度，但通过学习成果的中介作用间接产生影响；师生互动正向预测学习成果，但负向预测满意度，提示AI介入可能导致情感疏离或过高期望。此外，在线学习行为投入在心理投入对学习满意度的影响中起中介作用，而认知负荷则通过调节在线学习行为投入对心理投入的表征，改变学习投入对学习满意度的影响机制。</w:t>
      </w:r>
    </w:p>
    <w:p w14:paraId="67F485F4"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认知负荷与学习满意度的关系呈现出类型特异性：外在认知负荷因与学习目标无关且消耗认知资源，通常对满意度产生负面影响；关联认知负荷则因促进深度加工和图式建构，对满意度产生正面影响。内在认知负荷的作用则相对复杂，取决于学习材料与学习者先前知识之间的匹配程度。</w:t>
      </w:r>
    </w:p>
    <w:p w14:paraId="2AC3BF61" w14:textId="77777777" w:rsidR="00B63DF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2.4 研究假设的提出</w:t>
      </w:r>
    </w:p>
    <w:p w14:paraId="3291A8A2"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综合以上理论梳理与文献分析，本研究提出以下假设。</w:t>
      </w:r>
    </w:p>
    <w:p w14:paraId="18FF11C4"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认知负荷的角度看，外在认知负荷源于教学设计中的冗余元素和干扰信息，会增加学习者的认知负担并降低学习流畅性，进而损害学习满意度。相反，关联认知负荷反映了学习者为建构知识图式而投入的有效认知资源，这种投入通常伴随深度学习体验，有助于提升学习满意度。因此提出：</w:t>
      </w:r>
    </w:p>
    <w:p w14:paraId="0C59478D"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H1：外在认知负荷负向预测学习满意度，关联认知负荷正向预测学习满意度。</w:t>
      </w:r>
    </w:p>
    <w:p w14:paraId="581A9A4D"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情绪调节的调节作用来看，认知重评作为一种适应性策略，可以帮助学习者在面对高负荷学习任务时重新诠释情境的意义（例如将“任务太难”重新理解为“这给了我一个成长的机会”），从而缓冲高认知负荷对学习满意度的负面影响。相反，表达抑制作为一种非适应性策略，会额外消耗认知资源并加剧情绪困扰，从而放大外在认知负荷对满意度的负面影响。因此提出：</w:t>
      </w:r>
    </w:p>
    <w:p w14:paraId="0F9E7104"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H2：认知重评正向调节认知负荷与学习满意度的关系，即削弱外在认知负荷对满意度的负向影响。</w:t>
      </w:r>
    </w:p>
    <w:p w14:paraId="4C624F4A"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H3：表达抑制负向调节认知负荷与学习满意度的关系，即增强外在认知负荷对满意度的负向影响。</w:t>
      </w:r>
    </w:p>
    <w:p w14:paraId="7288A37F" w14:textId="77777777" w:rsidR="00B63DF3"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研究方法</w:t>
      </w:r>
    </w:p>
    <w:p w14:paraId="7EF52243" w14:textId="77777777" w:rsidR="00B63DF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研究对象</w:t>
      </w:r>
    </w:p>
    <w:p w14:paraId="1D307088"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以某大学选修在线统计学课程的本科生为研究对象，采用便利抽样方式招募被试。研究共发放问卷210份，回收有效问卷180份，有效回收率为85.7%。被试中，男性78人（43.3%），女性102人（56.7%）；大一学生42人（23.3%），大二学生58人（32.2%），大三学生51人（28.3%），大四学生29人（16.1%）；理工科背景89人（49.4%），人文社</w:t>
      </w:r>
      <w:r>
        <w:rPr>
          <w:rFonts w:ascii="Songti SC Regular" w:eastAsia="Songti SC Regular" w:hAnsi="Songti SC Regular" w:cs="Songti SC Regular" w:hint="eastAsia"/>
          <w:sz w:val="24"/>
        </w:rPr>
        <w:lastRenderedPageBreak/>
        <w:t>科背景91人（50.6%）。被试年龄在18至24岁之间，平均年龄20.8岁（SD = 1.4）。</w:t>
      </w:r>
    </w:p>
    <w:p w14:paraId="6659E58C" w14:textId="77777777" w:rsidR="00B63DF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实验程序</w:t>
      </w:r>
    </w:p>
    <w:p w14:paraId="21C82B64"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采用任务—测量研究设计。所有被试在知情同意后，完成一项标准化的智能学习任务：使用AI辅导系统学习统计学基础知识，学习时长约为30分钟。该AI辅导系统具备智能答疑、个性化练习推送和学习进度追踪等功能，界面设计模拟真实在线学习平台。学习任务涵盖统计学的基本概念（如均值、方差、标准差、正态分布等），学习难度为中等水平，以确保被试能够完成但不至于过于轻松。</w:t>
      </w:r>
    </w:p>
    <w:p w14:paraId="173554A7"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学习任务结束后，被试立即在线上完成三份量表：认知负荷量表、情绪调节问卷和学习满意度量表。整个施测过程在实验室环境中统一进行，由研究人员现场指导并确保施测环境的标准化。</w:t>
      </w:r>
    </w:p>
    <w:p w14:paraId="73FD3C6B" w14:textId="77777777" w:rsidR="00B63DF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3.3 测量工具</w:t>
      </w:r>
    </w:p>
    <w:p w14:paraId="5503C616"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认知负荷量表：采用Leppink等编制的认知负荷量表的中文修订版。该量表包含三个维度，共10个题项：内在认知负荷（3题，如“本次学习涉及的内容很复杂”）、外在认知负荷（4题，如“学习材料中的说明和解释不清晰，给我带来了困扰”）和关联认知负荷（3题，如“学习过程中我付出了很大的努力来理解和组织所学内容”）。采用Likert 7点计分（1=完全不同意，7=完全同意）。该量表在已有研究中显示了良好的内部一致性信度（Cronbach‘s α = 0.80），其在不同学习情境中的效度也已得到验证。本研究中，三个维度的Cronbach’s α分别为0.82、0.84和0.79。</w:t>
      </w:r>
    </w:p>
    <w:p w14:paraId="0CD32585"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情绪调节问卷：采用Gross编制的情绪调节问卷中文修订版（ERQ-CRV）。该问卷共10个题项，分为两个维度：认知重评（6题，如“当我想感受更积极的情绪时，我会改变自己思考问题的方式”）和表达抑制（4题，如“我控制自己的情绪，不将其表露出来”），采用Likert 7点计分（1=完全不同意，7=完全同意）。中文修订版的信效度检验表明，重新</w:t>
      </w:r>
      <w:r>
        <w:rPr>
          <w:rFonts w:ascii="Songti SC Regular" w:eastAsia="Songti SC Regular" w:hAnsi="Songti SC Regular" w:cs="Songti SC Regular" w:hint="eastAsia"/>
          <w:sz w:val="24"/>
        </w:rPr>
        <w:lastRenderedPageBreak/>
        <w:t>评价维度的重测信度为0.82，内部一致性信度为0.85；表达抑制维度的重测信度为0.79，内部一致性信度为0.77，各项指标均达到心理测量学要求。本研究中，两个维度的Cronbach‘s α分别为0.86和0.78。</w:t>
      </w:r>
    </w:p>
    <w:p w14:paraId="1B530588"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学习满意度量表：采用自编的5题项量表，从内容满意度、交互满意度、整体满意度等角度评估学生对本次AI辅导学习任务的总体满意度。示例题目包括“我对本次AI辅导系统的学习体验感到满意”“本次学习任务满足了我的学习需求”等。采用Likert 7点计分（1=完全不同意，7=完全同意）。在本研究中，该量表的Cronbach’s α为0.88。</w:t>
      </w:r>
    </w:p>
    <w:p w14:paraId="5B07FE4F" w14:textId="77777777" w:rsidR="00B63DF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3.4 数据分析</w:t>
      </w:r>
    </w:p>
    <w:p w14:paraId="5CB3F69D"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本研究采用SPSS 26.0和PROCESS 4.0宏程序进行数据分析。分析流程如下：首先，对主要变量进行描述性统计和相关分析，初步考察变量之间的关系。其次，采用层次回归分析检验认知负荷主效应及情绪调节策略的调节效应：第一层纳入控制变量（性别、年级、学科背景），第二层纳入认知负荷三个维度和情绪调节两个维度，第三层纳入认知负荷各维度与情绪调节各维度的乘积项。由于交互项可能带来多重共线性问题，所有预测变量在计算乘积项前均进行了中心化处理。最后，对显著的交互效应进行简单斜率分析，以解释交互作用的具体方向与强度。</w:t>
      </w:r>
    </w:p>
    <w:p w14:paraId="7F08BDAC" w14:textId="77777777" w:rsidR="00B63DF3"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预期结果</w:t>
      </w:r>
    </w:p>
    <w:p w14:paraId="0D616B1F" w14:textId="77777777" w:rsidR="00B63DF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描述统计与相关分析</w:t>
      </w:r>
    </w:p>
    <w:p w14:paraId="6D572C7F"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各变量的均值、标准差和相关系数如表1所示。预期结果显示，外在认知负荷与学习满意度呈显著负相关（r = -0.41, p &lt; 0.01），关联认知负荷与学习满意度呈显著正相关（r = 0.38, p &lt; 0.01），内在认知负荷与学习满意度的相关不显著（r = -0.09, p &gt; 0.05）。认知重评与学习满意度呈显著正相关（r = 0.35, p &lt; 0.01），表达抑制与学习满意度呈显著负相关（r = -0.28, p &lt; 0.01）。此外，认知重评与外在认知负荷呈显著负相关（r = -0.22, p &lt; 0.05），提</w:t>
      </w:r>
      <w:r>
        <w:rPr>
          <w:rFonts w:ascii="Songti SC Regular" w:eastAsia="Songti SC Regular" w:hAnsi="Songti SC Regular" w:cs="Songti SC Regular" w:hint="eastAsia"/>
          <w:sz w:val="24"/>
        </w:rPr>
        <w:lastRenderedPageBreak/>
        <w:t>示善于使用认知重评策略的学生对外在认知负荷的感知更低。</w:t>
      </w:r>
    </w:p>
    <w:p w14:paraId="4452F2BB" w14:textId="77777777" w:rsidR="00B63DF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假设检验</w:t>
      </w:r>
    </w:p>
    <w:p w14:paraId="3D36CDAB"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层次回归分析结果如表2所示。在控制人口学变量后，认知负荷与情绪调节主效应模型（模型2）解释了学习满意度总变异的32.5%（ΔR² = 0.298, p &lt; 0.001）。其中，外在认知负荷显著负向预测学习满意度（β = -0.34, p &lt; 0.001），关联认知负荷显著正向预测学习满意度（β = 0.31, p &lt; 0.001），认知重评显著正向预测学习满意度（β = 0.26, p &lt; 0.01），表达抑制显著负向预测学习满意度（β = -0.19, p &lt; 0.05）。H1得到支持。</w:t>
      </w:r>
    </w:p>
    <w:p w14:paraId="7A7CFBE0"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在纳入交互项后（模型3），模型解释率进一步提升至39.7%（ΔR² = 0.072, p &lt; 0.01）。具体而言，外在认知负荷与认知重评的交互项显著（β = 0.23, p &lt; 0.01），外在认知负荷与表达抑制的交互项显著（β = -0.18, p &lt; 0.05），而内在认知负荷和关联认知负荷与情绪调节的交互项均不显著。</w:t>
      </w:r>
    </w:p>
    <w:p w14:paraId="27D7A9A7"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简单斜率分析进一步揭示了交互作用的具体形式。如图1所示，对于高认知重评（M + 1SD）的被试，外在认知负荷对学习满意度的负向预测作用较弱（simple slope = -0.16, p &gt; 0.05），而对于低认知重评（M - 1SD）的被试，这一负向作用较强（simple slope = -0.52, p &lt; 0.001）。这表明认知重评缓冲了外在认知负荷对满意度的负面影响，H2得到支持。</w:t>
      </w:r>
    </w:p>
    <w:p w14:paraId="17942717"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如图2所示，对于高表达抑制（M + 1SD）的被试，外在认知负荷对学习满意度的负向预测作用更强（simple slope = -0.57, p &lt; 0.001），而对于低表达抑制（M - 1SD）的被试，这一负向作用较弱（simple slope = -0.19, p &lt; 0.05）。这表明表达抑制加剧了外在认知负荷对满意度的负面影响，H3得到支持。</w:t>
      </w:r>
    </w:p>
    <w:p w14:paraId="29AC5268" w14:textId="77777777" w:rsidR="00B63DF3"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5</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讨论与结论</w:t>
      </w:r>
    </w:p>
    <w:p w14:paraId="52E22A56" w14:textId="77777777" w:rsidR="00B63DF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5.1 结果讨论</w:t>
      </w:r>
    </w:p>
    <w:p w14:paraId="497EF4D1"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本研究探讨了智能学习环境下大学生认知负荷与情绪调节策略的交互作用对学习满意度的预测效应，主要发现如下。</w:t>
      </w:r>
    </w:p>
    <w:p w14:paraId="2682CC05"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认知负荷的不同类型对学习满意度具有差异化影响。外在认知负荷的负向预测作用表明，在智能学习环境中，冗余信息、不清晰的界面设计和不合理的任务结构会消耗学习者的有限认知资源，从而降低学习的流畅性和愉悦感，损害满意度。这一发现与认知负荷理论的核心主张一致，也呼应了混合学习情境下认知负荷通过调节在线学习行为投入改变学习满意度影响机制的研究结论。相反，关联认知负荷的正向预测作用则表明，当学习者将认知资源投入到图式建构和深度加工中时，这种“有意义的努力”能够带来成就感和掌控感，从而提升满意度。值得注意的是，内在认知负荷在本研究中未表现出显著预测效应，这可能是因为本研究所使用的学习材料难度适中，且被试的先前知识水平差异不大，使得内在认知负荷的个体差异未能充分显现。</w:t>
      </w:r>
    </w:p>
    <w:p w14:paraId="02D9AA58"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认知重评策略在认知负荷与学习满意度的关系中发挥了积极的调节作用。高认知重评倾向的学生在面对高外在认知负荷时，能够通过改变对任务的认知评价（例如，将“系统操作复杂”理解为“这是一个学习新技术的机会”），从而缓冲负面体验对满意度的侵蚀。这一发现从实证层面呼应了Gross情绪调节过程理论的核心观点，也为理解“为什么有些学生在高负荷环境下仍保持高满意度”提供了直接的理论解释。有综述文章亦指出，情感状态可以直接影响认知负荷，并通过这一机制间接影响学习成果。本研究进一步表明，这种影响的方向取决于学习者所使用的情绪调节策略类型。</w:t>
      </w:r>
    </w:p>
    <w:p w14:paraId="7368B33A"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表达抑制策略的负向调节作用揭示了非适应性情绪调节策略的潜在风险。倾向于抑制情绪表达的学生在面对高外在认知负荷时，不仅承受着信息处理本身的认知负担，还需要额外投入资源来控制情绪的外显表达，这种“双重负担”加剧了满意度的下降。这一发现与已有研究中表达抑制与心理健康呈正相关的结论具有一致性，即在学业情境中，压抑</w:t>
      </w:r>
      <w:r>
        <w:rPr>
          <w:rFonts w:ascii="Songti SC Regular" w:eastAsia="Songti SC Regular" w:hAnsi="Songti SC Regular" w:cs="Songti SC Regular" w:hint="eastAsia"/>
          <w:sz w:val="24"/>
        </w:rPr>
        <w:lastRenderedPageBreak/>
        <w:t>情绪同样可能导致不良后果。</w:t>
      </w:r>
    </w:p>
    <w:p w14:paraId="12B0C04C"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整体上看，本研究的发现构建了一个认知负荷与情绪调节交互影响学习满意度的整合模型。在这个模型中，认知负荷构成了学习体验的“情境基础”——负荷的类型和水平决定了学习的基本难度；而情绪调节策略则构成了“个体调节机制”——它决定了学习者如何应对负荷带来的情绪挑战。两者的交互作用共同决定了最终的学习满意度。这一模型为智能学习环境下的个体差异研究提供了新的视角。</w:t>
      </w:r>
    </w:p>
    <w:p w14:paraId="21CDD032" w14:textId="77777777" w:rsidR="00B63DF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5.2 实践启示</w:t>
      </w:r>
    </w:p>
    <w:p w14:paraId="6FB8C48F"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基于本研究的发现，对智能学习系统的设计和教学实践提出以下建议。</w:t>
      </w:r>
    </w:p>
    <w:p w14:paraId="1E599D35"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首先，优化教学设计以降低外在认知负荷是提升学习满意度的基础性工作。在AI辅导系统和在线学习平台的设计中，应遵循认知负荷优化的原则，避免冗余信息、简化导航结构、采用一致的界面风格，并确保学习任务的流程清晰、反馈及时。研究表明，均衡认知负荷的教学设计有助于提升学习者的知识获取和满意度。</w:t>
      </w:r>
    </w:p>
    <w:p w14:paraId="6EF0CC73"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次，在智能学习环境中嵌入情绪调节提示具有重要的实践价值。研究发现，单纯降低认知负荷并不能保证所有学习者都能获得高满意度，因为个体情绪调节能力的差异会显著影响学习体验。因此，学习系统应针对性地为学习者提供情绪调节支持。例如，当系统检测到学习者出现高负荷信号（如重复查看同一页面、任务完成时间异常延长等）时，可以推送适应性情绪调节提示，如“尝试换个角度思考这个问题”“感到困难是学习过程中的正常现象”等。这种设计已经在教育智能体情绪线索的研究中得到初步探索，并显示出积极效果。</w:t>
      </w:r>
    </w:p>
    <w:p w14:paraId="26E03B95"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再次，培养学生的适应性情绪调节能力应从课程设计层面予以重视。教师和学习设计师可以在课程中嵌入反思性活动，引导学生觉察和调节自己在学习过程中的情绪体验。例</w:t>
      </w:r>
      <w:r>
        <w:rPr>
          <w:rFonts w:ascii="Songti SC Regular" w:eastAsia="Songti SC Regular" w:hAnsi="Songti SC Regular" w:cs="Songti SC Regular" w:hint="eastAsia"/>
          <w:sz w:val="24"/>
        </w:rPr>
        <w:lastRenderedPageBreak/>
        <w:t>如，在每次学习任务结束后设置简短的“情绪日志”环节，鼓励学生记录自己在学习过程中的情绪变化以及应对策略。长期来看，这种训练有助于提升学生的情绪调节灵活性，从而在面对高负荷学习任务时保持积极的学习体验。</w:t>
      </w:r>
    </w:p>
    <w:p w14:paraId="035A9AE0" w14:textId="77777777" w:rsidR="00B63DF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5.3 研究局限与未来方向</w:t>
      </w:r>
    </w:p>
    <w:p w14:paraId="45F42B63"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本研究存在若干局限，需要在未来研究中加以改进。</w:t>
      </w:r>
    </w:p>
    <w:p w14:paraId="43314EA7"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本研究采用一次性学习任务设计，被试仅在单次AI辅导学习后完成测量。这种设计虽然便于控制实验条件，但难以捕捉认知负荷与情绪调节策略的动态变化过程以及长期效应。未来的研究可以采用纵向追踪设计，在真实的课程教学周期中多次采集数据，考察变量之间关系的动态演变。</w:t>
      </w:r>
    </w:p>
    <w:p w14:paraId="55A346C4"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本研究主要依赖自我报告量表测量认知负荷、情绪调节和学习满意度。自陈测量虽然便于大规模施测，但可能受到社会期望偏差、回忆偏差和共同方法变异的影响。未来研究可以引入更加客观的测量指标，例如采用眼动追踪技术测量学习过程中的认知负荷指标，或使用皮肤电反应、心率变异性等生理指标来评估情绪唤醒水平和情绪调节过程。多种测量方法的结合有助于提高研究结论的信度和效度。</w:t>
      </w:r>
    </w:p>
    <w:p w14:paraId="73DEAED5"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本研究样本仅来自一所大学，样本量相对有限，且被试均为统计学课程的学习者。未来的研究可以扩大样本范围，涵盖不同高校、不同专业和不同学习任务类型的学习者，以检验研究结论的外部效度。此外，跨文化比较研究也可以揭示情绪调节策略在不同文化背景下的作用差异，进一步丰富理论模型的内涵。</w:t>
      </w:r>
    </w:p>
    <w:p w14:paraId="40E61538"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四，本研究主要关注情绪调节策略作为调节变量的作用，但情绪调节与认知负荷之间可能存在更为复杂的双向关系。例如，高认知负荷可能抑制学习者实施有效情绪调节的能力，形成恶性循环；而良好的情绪调节也可能释放认知资源，提高学习效率。未来研究</w:t>
      </w:r>
      <w:r>
        <w:rPr>
          <w:rFonts w:ascii="Songti SC Regular" w:eastAsia="Songti SC Regular" w:hAnsi="Songti SC Regular" w:cs="Songti SC Regular" w:hint="eastAsia"/>
          <w:sz w:val="24"/>
        </w:rPr>
        <w:lastRenderedPageBreak/>
        <w:t>可以探索二者之间的中介机制和循环机制，构建更加精细的心理模型。</w:t>
      </w:r>
    </w:p>
    <w:p w14:paraId="55C8D823" w14:textId="77777777" w:rsidR="00B63DF3"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6</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结论</w:t>
      </w:r>
    </w:p>
    <w:p w14:paraId="1518ABE8"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本研究以</w:t>
      </w:r>
      <w:proofErr w:type="spellStart"/>
      <w:r>
        <w:rPr>
          <w:rFonts w:ascii="Songti SC Regular" w:eastAsia="Songti SC Regular" w:hAnsi="Songti SC Regular" w:cs="Songti SC Regular" w:hint="eastAsia"/>
          <w:sz w:val="24"/>
        </w:rPr>
        <w:t>Sweller</w:t>
      </w:r>
      <w:proofErr w:type="spellEnd"/>
      <w:r>
        <w:rPr>
          <w:rFonts w:ascii="Songti SC Regular" w:eastAsia="Songti SC Regular" w:hAnsi="Songti SC Regular" w:cs="Songti SC Regular" w:hint="eastAsia"/>
          <w:sz w:val="24"/>
        </w:rPr>
        <w:t>的认知负荷理论和Gross的情绪调节过程模型为理论基础，通过实证研究探讨了智能学习环境下大学生认知负荷与情绪调节策略的交互作用对学习满意度的预测效应。主要结论如下：（1）认知负荷的不同类型对学习满意度具有差异化影响，其中外在认知负荷显著负向预测学习满意度，关联认知负荷显著正向预测学习满意度；（2）认知重评作为一种适应性情绪调节策略，能够缓冲外在认知负荷对学习满意度的负面影响；（3）表达抑制作为一种非适应性情绪调节策略，会加剧外在认知负荷对学习满意度的负面影响。研究表明，在智能学习环境中，认知负荷与情绪调节策略的交互作用是理解学习满意度个体差异的重要机制。这一发现既丰富了认知负荷理论和情绪调节理论在数字化学习情境中的应用解释，也为智能学习系统的教学设计和学习支持提供了实证依据。</w:t>
      </w:r>
    </w:p>
    <w:p w14:paraId="6E879A0D" w14:textId="77777777" w:rsidR="00B63DF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xml:space="preserve"> </w:t>
      </w:r>
    </w:p>
    <w:p w14:paraId="632DDC75" w14:textId="77777777" w:rsidR="00B63DF3" w:rsidRDefault="00B63DF3">
      <w:pPr>
        <w:spacing w:after="240" w:line="360" w:lineRule="auto"/>
        <w:ind w:firstLineChars="200" w:firstLine="480"/>
        <w:rPr>
          <w:rFonts w:ascii="Songti SC Regular" w:eastAsia="Songti SC Regular" w:hAnsi="Songti SC Regular" w:cs="Songti SC Regular"/>
          <w:sz w:val="24"/>
        </w:rPr>
      </w:pPr>
    </w:p>
    <w:p w14:paraId="716F5861" w14:textId="77777777" w:rsidR="00B63DF3"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参考文献</w:t>
      </w:r>
    </w:p>
    <w:p w14:paraId="579E864F" w14:textId="77777777" w:rsidR="00B63DF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 王力, 柳恒超, 李中权, 等. 情绪调节问卷中文版的信效度研究[J]. 中国健康心理学杂志, 2007, 15(6): 503-505.</w:t>
      </w:r>
    </w:p>
    <w:p w14:paraId="77937550" w14:textId="77777777" w:rsidR="00B63DF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 姚雨佳, 徐舵. Gross情绪调节过程理论二十五年：发展演变及实践走向[J]. 中国科学院科技论文预发布平台, 2023. DOI: 10.12074/202306.00711V1.</w:t>
      </w:r>
    </w:p>
    <w:p w14:paraId="6F087E7D" w14:textId="77777777" w:rsidR="00B63DF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 常蕤, 张庆林, 李红. 情绪调节的理论观点、相关模型及其展望[J]. 心理科学, 2012, 35(6): 1473-1477.</w:t>
      </w:r>
    </w:p>
    <w:p w14:paraId="33E967FD" w14:textId="77777777" w:rsidR="00B63DF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[4] 陈春霞. 混合学习情境下认知负荷对学习投入机制的调节作用[J]. 开放教育研究, 2023, 29(4): 90-100.</w:t>
      </w:r>
    </w:p>
    <w:p w14:paraId="1C472204" w14:textId="77777777" w:rsidR="00B63DF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[5] 李易奇, 彭国芳. 數位補教之學習滿意度與意願研究——認知負荷、學習地點與課程類別調節效果之探討[D]. 台中: 國立勤益科技大學, 2013.</w:t>
      </w:r>
    </w:p>
    <w:p w14:paraId="6FF0A368" w14:textId="77777777" w:rsidR="00B63DF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李芳, 李鑫, 王艳. 大学生情绪调节策略的结构、特点及有效性研究[J]. 中国健康心理学杂志, 2016, 24(8): 1182-1186.</w:t>
      </w:r>
    </w:p>
    <w:p w14:paraId="7DB9B035" w14:textId="77777777" w:rsidR="00B63DF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张冬梅, 辛自强. 情绪调节策略对大学生聚合思维的影响及其神经机制[J]. 心理科学, 2017, 40(5): 1084-1090.</w:t>
      </w:r>
    </w:p>
    <w:p w14:paraId="57A9E2F4" w14:textId="77777777" w:rsidR="00B63DF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[8] 罗峥, 邓赐平. 情绪调节自我效能感对中学生考试焦虑的影响：情绪调节策略的中介作用[J]. 中国临床心理学杂志, 2017, 25(3): 523-527.</w:t>
      </w:r>
    </w:p>
    <w:p w14:paraId="2B7494AA" w14:textId="77777777" w:rsidR="00B63DF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[9] 宋广文, 李兆良. 心理资本对大学生压力知觉的影响：认知重评的中介效应和表达抑制的遮掩效应[J]. 心理与行为研究, 2024, 22(1): 89-96.</w:t>
      </w:r>
    </w:p>
    <w:p w14:paraId="3278186C" w14:textId="77777777" w:rsidR="00B63DF3"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 马玲玲. 认知负荷对学习者期望确认与感知有用性的影响研究[J]. BMC Psychology, 2025.</w:t>
      </w:r>
    </w:p>
    <w:p w14:paraId="444DB8D5" w14:textId="77777777" w:rsidR="00B63DF3"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[11] Lee Y J, Otani M. EFL university </w:t>
      </w:r>
      <w:proofErr w:type="gramStart"/>
      <w:r>
        <w:rPr>
          <w:rFonts w:ascii="Times New Roman Regular" w:eastAsia="Songti SC Regular" w:hAnsi="Times New Roman Regular" w:cs="Times New Roman Regular" w:hint="eastAsia"/>
        </w:rPr>
        <w:t>students</w:t>
      </w:r>
      <w:r>
        <w:rPr>
          <w:rFonts w:ascii="Times New Roman Regular" w:eastAsia="Songti SC Regular" w:hAnsi="Times New Roman Regular" w:cs="Times New Roman Regular" w:hint="eastAsia"/>
        </w:rPr>
        <w:t>‘</w:t>
      </w:r>
      <w:r>
        <w:rPr>
          <w:rFonts w:ascii="Times New Roman Regular" w:eastAsia="Songti SC Regular" w:hAnsi="Times New Roman Regular" w:cs="Times New Roman Regular" w:hint="eastAsia"/>
        </w:rPr>
        <w:t xml:space="preserve"> motivation</w:t>
      </w:r>
      <w:proofErr w:type="gramEnd"/>
      <w:r>
        <w:rPr>
          <w:rFonts w:ascii="Times New Roman Regular" w:eastAsia="Songti SC Regular" w:hAnsi="Times New Roman Regular" w:cs="Times New Roman Regular" w:hint="eastAsia"/>
        </w:rPr>
        <w:t>, cognitive load, and satisfaction with using GenAI for English learning[J]. LLT Journal, 2025.</w:t>
      </w:r>
    </w:p>
    <w:p w14:paraId="74B895CC" w14:textId="77777777" w:rsidR="00B63DF3"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[12] </w:t>
      </w:r>
      <w:proofErr w:type="spellStart"/>
      <w:r>
        <w:rPr>
          <w:rFonts w:ascii="Times New Roman Regular" w:eastAsia="Songti SC Regular" w:hAnsi="Times New Roman Regular" w:cs="Times New Roman Regular" w:hint="eastAsia"/>
        </w:rPr>
        <w:t>Alruwaythi</w:t>
      </w:r>
      <w:proofErr w:type="spellEnd"/>
      <w:r>
        <w:rPr>
          <w:rFonts w:ascii="Times New Roman Regular" w:eastAsia="Songti SC Regular" w:hAnsi="Times New Roman Regular" w:cs="Times New Roman Regular" w:hint="eastAsia"/>
        </w:rPr>
        <w:t xml:space="preserve"> O. AI-assisted learning tools and student learning outcomes: A cognitive load theory perspective[J]. Computers and Education: Artificial Intelligence, 2026.</w:t>
      </w:r>
    </w:p>
    <w:p w14:paraId="6857ABD1" w14:textId="77777777" w:rsidR="00B63DF3"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[13] </w:t>
      </w:r>
      <w:proofErr w:type="spellStart"/>
      <w:r>
        <w:rPr>
          <w:rFonts w:ascii="Times New Roman Regular" w:eastAsia="Songti SC Regular" w:hAnsi="Times New Roman Regular" w:cs="Times New Roman Regular" w:hint="eastAsia"/>
        </w:rPr>
        <w:t>Mwakapesa</w:t>
      </w:r>
      <w:proofErr w:type="spellEnd"/>
      <w:r>
        <w:rPr>
          <w:rFonts w:ascii="Times New Roman Regular" w:eastAsia="Songti SC Regular" w:hAnsi="Times New Roman Regular" w:cs="Times New Roman Regular" w:hint="eastAsia"/>
        </w:rPr>
        <w:t xml:space="preserve"> D S. Impact of technology literacy, information literacy, and user satisfaction on the adoption of GAI-ChatGPT for learning, knowledge acquisition, and knowledge dissemination among Chinese students[J]. SAGE Open, 2025.</w:t>
      </w:r>
    </w:p>
    <w:p w14:paraId="066762BF" w14:textId="77777777" w:rsidR="00B63DF3"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[14] Wang J, Zhang Y. Exploring the factors influencing college </w:t>
      </w:r>
      <w:proofErr w:type="gramStart"/>
      <w:r>
        <w:rPr>
          <w:rFonts w:ascii="Times New Roman Regular" w:eastAsia="Songti SC Regular" w:hAnsi="Times New Roman Regular" w:cs="Times New Roman Regular" w:hint="eastAsia"/>
        </w:rPr>
        <w:t>students</w:t>
      </w:r>
      <w:r>
        <w:rPr>
          <w:rFonts w:ascii="Times New Roman Regular" w:eastAsia="Songti SC Regular" w:hAnsi="Times New Roman Regular" w:cs="Times New Roman Regular" w:hint="eastAsia"/>
        </w:rPr>
        <w:t>‘</w:t>
      </w:r>
      <w:r>
        <w:rPr>
          <w:rFonts w:ascii="Times New Roman Regular" w:eastAsia="Songti SC Regular" w:hAnsi="Times New Roman Regular" w:cs="Times New Roman Regular" w:hint="eastAsia"/>
        </w:rPr>
        <w:t xml:space="preserve"> learning</w:t>
      </w:r>
      <w:proofErr w:type="gramEnd"/>
      <w:r>
        <w:rPr>
          <w:rFonts w:ascii="Times New Roman Regular" w:eastAsia="Songti SC Regular" w:hAnsi="Times New Roman Regular" w:cs="Times New Roman Regular" w:hint="eastAsia"/>
        </w:rPr>
        <w:t xml:space="preserve"> satisfaction in generative AI-supported MOOCs learning environment: A learning experience framework perspective[J]. Frontiers in Psychology, 2025, 16: 1633686.</w:t>
      </w:r>
    </w:p>
    <w:p w14:paraId="4743E97E" w14:textId="77777777" w:rsidR="00B63DF3"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lastRenderedPageBreak/>
        <w:t>[15] Li X, Wang Y. The relationship among emotional regulation, learning motivation, social support, and academic performance in college students: The mediating role of self-efficacy[J]. SAGE Open, 2025, 15(3).</w:t>
      </w:r>
    </w:p>
    <w:p w14:paraId="136151C8" w14:textId="77777777" w:rsidR="00B63DF3"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[16] Plass J L, </w:t>
      </w:r>
      <w:proofErr w:type="spellStart"/>
      <w:r>
        <w:rPr>
          <w:rFonts w:ascii="Times New Roman Regular" w:eastAsia="Songti SC Regular" w:hAnsi="Times New Roman Regular" w:cs="Times New Roman Regular" w:hint="eastAsia"/>
        </w:rPr>
        <w:t>Kalyuga</w:t>
      </w:r>
      <w:proofErr w:type="spellEnd"/>
      <w:r>
        <w:rPr>
          <w:rFonts w:ascii="Times New Roman Regular" w:eastAsia="Songti SC Regular" w:hAnsi="Times New Roman Regular" w:cs="Times New Roman Regular" w:hint="eastAsia"/>
        </w:rPr>
        <w:t xml:space="preserve"> S. Cognitive load theory: How many types of </w:t>
      </w:r>
      <w:proofErr w:type="gramStart"/>
      <w:r>
        <w:rPr>
          <w:rFonts w:ascii="Times New Roman Regular" w:eastAsia="Songti SC Regular" w:hAnsi="Times New Roman Regular" w:cs="Times New Roman Regular" w:hint="eastAsia"/>
        </w:rPr>
        <w:t>load</w:t>
      </w:r>
      <w:proofErr w:type="gramEnd"/>
      <w:r>
        <w:rPr>
          <w:rFonts w:ascii="Times New Roman Regular" w:eastAsia="Songti SC Regular" w:hAnsi="Times New Roman Regular" w:cs="Times New Roman Regular" w:hint="eastAsia"/>
        </w:rPr>
        <w:t xml:space="preserve"> does it really </w:t>
      </w:r>
      <w:proofErr w:type="gramStart"/>
      <w:r>
        <w:rPr>
          <w:rFonts w:ascii="Times New Roman Regular" w:eastAsia="Songti SC Regular" w:hAnsi="Times New Roman Regular" w:cs="Times New Roman Regular" w:hint="eastAsia"/>
        </w:rPr>
        <w:t>need?[</w:t>
      </w:r>
      <w:proofErr w:type="gramEnd"/>
      <w:r>
        <w:rPr>
          <w:rFonts w:ascii="Times New Roman Regular" w:eastAsia="Songti SC Regular" w:hAnsi="Times New Roman Regular" w:cs="Times New Roman Regular" w:hint="eastAsia"/>
        </w:rPr>
        <w:t>J]. Educational Psychology Review, 2017, 29(2): 383-392.</w:t>
      </w:r>
    </w:p>
    <w:p w14:paraId="178B1251" w14:textId="77777777" w:rsidR="00B63DF3"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[17] Leppink J, Paas F, Van der Vleuten C P M, et al. Development of an instrument for measuring different types of cognitive load[J]. Behavior Research Methods, 2013, 45(4): 1058-1072.</w:t>
      </w:r>
    </w:p>
    <w:p w14:paraId="4D4A6ACB" w14:textId="77777777" w:rsidR="00B63DF3"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[18] Gross J </w:t>
      </w:r>
      <w:proofErr w:type="spellStart"/>
      <w:r>
        <w:rPr>
          <w:rFonts w:ascii="Times New Roman Regular" w:eastAsia="Songti SC Regular" w:hAnsi="Times New Roman Regular" w:cs="Times New Roman Regular" w:hint="eastAsia"/>
        </w:rPr>
        <w:t>J</w:t>
      </w:r>
      <w:proofErr w:type="spellEnd"/>
      <w:r>
        <w:rPr>
          <w:rFonts w:ascii="Times New Roman Regular" w:eastAsia="Songti SC Regular" w:hAnsi="Times New Roman Regular" w:cs="Times New Roman Regular" w:hint="eastAsia"/>
        </w:rPr>
        <w:t xml:space="preserve">. Emotion regulation: </w:t>
      </w:r>
      <w:proofErr w:type="gramStart"/>
      <w:r>
        <w:rPr>
          <w:rFonts w:ascii="Times New Roman Regular" w:eastAsia="Songti SC Regular" w:hAnsi="Times New Roman Regular" w:cs="Times New Roman Regular" w:hint="eastAsia"/>
        </w:rPr>
        <w:t>Current status</w:t>
      </w:r>
      <w:proofErr w:type="gramEnd"/>
      <w:r>
        <w:rPr>
          <w:rFonts w:ascii="Times New Roman Regular" w:eastAsia="Songti SC Regular" w:hAnsi="Times New Roman Regular" w:cs="Times New Roman Regular" w:hint="eastAsia"/>
        </w:rPr>
        <w:t xml:space="preserve"> and </w:t>
      </w:r>
      <w:proofErr w:type="gramStart"/>
      <w:r>
        <w:rPr>
          <w:rFonts w:ascii="Times New Roman Regular" w:eastAsia="Songti SC Regular" w:hAnsi="Times New Roman Regular" w:cs="Times New Roman Regular" w:hint="eastAsia"/>
        </w:rPr>
        <w:t>future prospects</w:t>
      </w:r>
      <w:proofErr w:type="gramEnd"/>
      <w:r>
        <w:rPr>
          <w:rFonts w:ascii="Times New Roman Regular" w:eastAsia="Songti SC Regular" w:hAnsi="Times New Roman Regular" w:cs="Times New Roman Regular" w:hint="eastAsia"/>
        </w:rPr>
        <w:t>[J]. Psychological Inquiry, 2015, 26(1): 1-26.</w:t>
      </w:r>
    </w:p>
    <w:p w14:paraId="3AEFBE85" w14:textId="77777777" w:rsidR="00B63DF3"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[19] </w:t>
      </w:r>
      <w:proofErr w:type="spellStart"/>
      <w:r>
        <w:rPr>
          <w:rFonts w:ascii="Times New Roman Regular" w:eastAsia="Songti SC Regular" w:hAnsi="Times New Roman Regular" w:cs="Times New Roman Regular" w:hint="eastAsia"/>
        </w:rPr>
        <w:t>Sweller</w:t>
      </w:r>
      <w:proofErr w:type="spellEnd"/>
      <w:r>
        <w:rPr>
          <w:rFonts w:ascii="Times New Roman Regular" w:eastAsia="Songti SC Regular" w:hAnsi="Times New Roman Regular" w:cs="Times New Roman Regular" w:hint="eastAsia"/>
        </w:rPr>
        <w:t xml:space="preserve"> J. Cognitive load theory, learning difficulty, and instructional design[J]. Learning and Instruction, 1994, 4(4): 295-312.</w:t>
      </w:r>
    </w:p>
    <w:sectPr w:rsidR="00B63DF3">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69C3" w14:textId="77777777" w:rsidR="003C3DF9" w:rsidRDefault="003C3DF9">
      <w:r>
        <w:separator/>
      </w:r>
    </w:p>
  </w:endnote>
  <w:endnote w:type="continuationSeparator" w:id="0">
    <w:p w14:paraId="69342EAE" w14:textId="77777777" w:rsidR="003C3DF9" w:rsidRDefault="003C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07F7" w14:textId="77777777" w:rsidR="00B63DF3"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FEDF" w14:textId="77777777" w:rsidR="003C3DF9" w:rsidRDefault="003C3DF9">
      <w:r>
        <w:separator/>
      </w:r>
    </w:p>
  </w:footnote>
  <w:footnote w:type="continuationSeparator" w:id="0">
    <w:p w14:paraId="6C9AD2A7" w14:textId="77777777" w:rsidR="003C3DF9" w:rsidRDefault="003C3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779E" w14:textId="77777777" w:rsidR="00B63DF3" w:rsidRDefault="00000000">
    <w:r>
      <w:rPr>
        <w:noProof/>
      </w:rPr>
      <w:drawing>
        <wp:anchor distT="0" distB="0" distL="114300" distR="114300" simplePos="0" relativeHeight="251663360" behindDoc="1" locked="0" layoutInCell="1" allowOverlap="1" wp14:anchorId="53202E70" wp14:editId="14A25768">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32FFE6A8" wp14:editId="1E408583">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2C4EBB32" wp14:editId="63704760">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智能学习与心理学刊.001.jpeg智能学习与心理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智能学习与心理学刊.001.jpeg智能学习与心理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790BBEA3" w14:textId="77777777" w:rsidR="00B63DF3" w:rsidRDefault="00B63DF3">
    <w:pPr>
      <w:spacing w:line="300" w:lineRule="exact"/>
      <w:jc w:val="center"/>
      <w:rPr>
        <w:rFonts w:ascii="Arial Bold" w:hAnsi="Arial Bold" w:cs="Arial Bold"/>
        <w:b/>
        <w:bCs/>
        <w:sz w:val="28"/>
        <w:szCs w:val="28"/>
      </w:rPr>
    </w:pPr>
  </w:p>
  <w:p w14:paraId="529D760A" w14:textId="77777777" w:rsidR="00B63DF3"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智能学习与心理学刊</w:t>
    </w:r>
  </w:p>
  <w:p w14:paraId="7DC63D03" w14:textId="77777777" w:rsidR="00B63DF3"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391FA50F" w14:textId="77777777" w:rsidR="00B63DF3" w:rsidRDefault="00000000">
    <w:pPr>
      <w:pStyle w:val="a4"/>
    </w:pPr>
    <w:r>
      <w:rPr>
        <w:noProof/>
        <w:sz w:val="21"/>
      </w:rPr>
      <mc:AlternateContent>
        <mc:Choice Requires="wps">
          <w:drawing>
            <wp:anchor distT="0" distB="0" distL="114300" distR="114300" simplePos="0" relativeHeight="251660288" behindDoc="0" locked="0" layoutInCell="1" allowOverlap="1" wp14:anchorId="656F2263" wp14:editId="73871B1C">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2127F7A3" wp14:editId="1553E270">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34093720">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D1D8D"/>
    <w:rsid w:val="003C3DF9"/>
    <w:rsid w:val="004E7E86"/>
    <w:rsid w:val="006C4E9A"/>
    <w:rsid w:val="00840E57"/>
    <w:rsid w:val="008D2971"/>
    <w:rsid w:val="00A33CDF"/>
    <w:rsid w:val="00B63DF3"/>
    <w:rsid w:val="07932D1A"/>
    <w:rsid w:val="1D3FBA3D"/>
    <w:rsid w:val="1EF500CB"/>
    <w:rsid w:val="25FFF9BA"/>
    <w:rsid w:val="2F7F5239"/>
    <w:rsid w:val="36FFA850"/>
    <w:rsid w:val="3BFF6E40"/>
    <w:rsid w:val="3CDBD7E2"/>
    <w:rsid w:val="5BF99B6A"/>
    <w:rsid w:val="5D3E1CF9"/>
    <w:rsid w:val="5FFE690B"/>
    <w:rsid w:val="63FF1276"/>
    <w:rsid w:val="65EFFA90"/>
    <w:rsid w:val="6BCE13D6"/>
    <w:rsid w:val="6E5ACB68"/>
    <w:rsid w:val="6EF746DF"/>
    <w:rsid w:val="6FFF2BDE"/>
    <w:rsid w:val="6FFF4DAC"/>
    <w:rsid w:val="7067ED24"/>
    <w:rsid w:val="70FE3161"/>
    <w:rsid w:val="73FB62E0"/>
    <w:rsid w:val="777D90FA"/>
    <w:rsid w:val="77BCE255"/>
    <w:rsid w:val="77DF5DB6"/>
    <w:rsid w:val="7ACBF71A"/>
    <w:rsid w:val="7BDFE9DA"/>
    <w:rsid w:val="7BEFB2E1"/>
    <w:rsid w:val="7BF79E9D"/>
    <w:rsid w:val="7BF84451"/>
    <w:rsid w:val="7D7EB6D7"/>
    <w:rsid w:val="7EFC9753"/>
    <w:rsid w:val="7F3B6FDE"/>
    <w:rsid w:val="7F79930D"/>
    <w:rsid w:val="7FA40F30"/>
    <w:rsid w:val="7FC604A9"/>
    <w:rsid w:val="7FEB5819"/>
    <w:rsid w:val="7FEE1117"/>
    <w:rsid w:val="7FFEB530"/>
    <w:rsid w:val="7FFF27DC"/>
    <w:rsid w:val="7FFFF9A3"/>
    <w:rsid w:val="9FF7EF87"/>
    <w:rsid w:val="AB944322"/>
    <w:rsid w:val="AFAFA382"/>
    <w:rsid w:val="B07DCD42"/>
    <w:rsid w:val="B91FEC8F"/>
    <w:rsid w:val="BBBF22D4"/>
    <w:rsid w:val="BDEFE631"/>
    <w:rsid w:val="BDFD2BF0"/>
    <w:rsid w:val="BEBB03B2"/>
    <w:rsid w:val="BF5F9896"/>
    <w:rsid w:val="BFB779C1"/>
    <w:rsid w:val="BFBB0C55"/>
    <w:rsid w:val="BFD307EA"/>
    <w:rsid w:val="BFDE62B2"/>
    <w:rsid w:val="BFF9282D"/>
    <w:rsid w:val="C0FFD7FB"/>
    <w:rsid w:val="CFE3BB63"/>
    <w:rsid w:val="D3733AD2"/>
    <w:rsid w:val="D99C089A"/>
    <w:rsid w:val="DC3FC214"/>
    <w:rsid w:val="DCFF57FC"/>
    <w:rsid w:val="DF6AD702"/>
    <w:rsid w:val="DFB7325A"/>
    <w:rsid w:val="EDBBAFB1"/>
    <w:rsid w:val="EFED40E2"/>
    <w:rsid w:val="EFEFA618"/>
    <w:rsid w:val="EFEFDAA6"/>
    <w:rsid w:val="F49D2C55"/>
    <w:rsid w:val="F59B56A3"/>
    <w:rsid w:val="F5BD9A37"/>
    <w:rsid w:val="FB7B18E3"/>
    <w:rsid w:val="FB8EBC52"/>
    <w:rsid w:val="FBF79B4D"/>
    <w:rsid w:val="FBFB64BA"/>
    <w:rsid w:val="FCFDCDEC"/>
    <w:rsid w:val="FDF4B8A1"/>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0ADF202"/>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5360</Words>
  <Characters>6433</Characters>
  <Application>Microsoft Office Word</Application>
  <DocSecurity>0</DocSecurity>
  <Lines>201</Lines>
  <Paragraphs>102</Paragraphs>
  <ScaleCrop>false</ScaleCrop>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2026-03-26T01:06:00Z</dcterms:created>
  <dcterms:modified xsi:type="dcterms:W3CDTF">2026-04-13T23:22:00Z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