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74DC" w14:textId="52DC1F2A" w:rsidR="007655A3" w:rsidRDefault="007655A3" w:rsidP="004C49DF">
      <w:pPr>
        <w:spacing w:line="360" w:lineRule="auto"/>
        <w:jc w:val="center"/>
        <w:rPr>
          <w:rFonts w:ascii="Times New Roman" w:hAnsi="Times New Roman" w:cs="Times New Roman"/>
          <w:b/>
          <w:bCs/>
          <w:sz w:val="22"/>
          <w:szCs w:val="28"/>
        </w:rPr>
      </w:pPr>
      <w:r w:rsidRPr="004C49DF">
        <w:rPr>
          <w:rFonts w:ascii="Times New Roman" w:hAnsi="Times New Roman" w:cs="Times New Roman"/>
          <w:b/>
          <w:bCs/>
          <w:sz w:val="22"/>
          <w:szCs w:val="28"/>
        </w:rPr>
        <w:t>Reframing Data Privacy Law in the Digital Age: Digital Rights, Data Sovereignty, and Cross-Border Governance</w:t>
      </w:r>
    </w:p>
    <w:p w14:paraId="4CA179A5" w14:textId="77777777" w:rsidR="00492D5C" w:rsidRPr="00492D5C" w:rsidRDefault="00492D5C" w:rsidP="00492D5C">
      <w:pPr>
        <w:spacing w:line="360" w:lineRule="auto"/>
        <w:jc w:val="center"/>
        <w:rPr>
          <w:rFonts w:ascii="Times New Roman" w:hAnsi="Times New Roman" w:cs="Times New Roman"/>
          <w:b/>
          <w:bCs/>
          <w:sz w:val="22"/>
          <w:szCs w:val="28"/>
        </w:rPr>
      </w:pPr>
      <w:r w:rsidRPr="00492D5C">
        <w:rPr>
          <w:rFonts w:ascii="Times New Roman" w:hAnsi="Times New Roman" w:cs="Times New Roman"/>
          <w:b/>
          <w:bCs/>
          <w:sz w:val="22"/>
          <w:szCs w:val="28"/>
        </w:rPr>
        <w:t>Sophia Bennett</w:t>
      </w:r>
    </w:p>
    <w:p w14:paraId="69C48FE5" w14:textId="77777777" w:rsidR="00492D5C" w:rsidRPr="00492D5C" w:rsidRDefault="00492D5C" w:rsidP="00492D5C">
      <w:pPr>
        <w:spacing w:line="360" w:lineRule="auto"/>
        <w:jc w:val="center"/>
        <w:rPr>
          <w:rFonts w:ascii="Times New Roman" w:hAnsi="Times New Roman" w:cs="Times New Roman"/>
          <w:b/>
          <w:bCs/>
          <w:sz w:val="22"/>
          <w:szCs w:val="28"/>
        </w:rPr>
      </w:pPr>
      <w:r w:rsidRPr="00492D5C">
        <w:rPr>
          <w:rFonts w:ascii="Times New Roman" w:hAnsi="Times New Roman" w:cs="Times New Roman"/>
          <w:b/>
          <w:bCs/>
          <w:sz w:val="22"/>
          <w:szCs w:val="28"/>
        </w:rPr>
        <w:t>School of Law, University of Glasgow, Glasgow, United Kingdom</w:t>
      </w:r>
    </w:p>
    <w:p w14:paraId="6C835E9C" w14:textId="34D1460B" w:rsidR="00492D5C" w:rsidRPr="00492D5C" w:rsidRDefault="00492D5C" w:rsidP="00492D5C">
      <w:pPr>
        <w:spacing w:line="360" w:lineRule="auto"/>
        <w:jc w:val="center"/>
        <w:rPr>
          <w:rFonts w:ascii="Times New Roman" w:hAnsi="Times New Roman" w:cs="Times New Roman" w:hint="eastAsia"/>
          <w:b/>
          <w:bCs/>
          <w:sz w:val="22"/>
          <w:szCs w:val="28"/>
        </w:rPr>
      </w:pPr>
      <w:r w:rsidRPr="00492D5C">
        <w:rPr>
          <w:rFonts w:ascii="Times New Roman" w:hAnsi="Times New Roman" w:cs="Times New Roman"/>
          <w:b/>
          <w:bCs/>
          <w:sz w:val="22"/>
          <w:szCs w:val="28"/>
        </w:rPr>
        <w:t>Email: sophia.bennett@glasgow.ac.uk</w:t>
      </w:r>
    </w:p>
    <w:p w14:paraId="24080858" w14:textId="61A47236" w:rsidR="007655A3" w:rsidRPr="004C49DF" w:rsidRDefault="007655A3" w:rsidP="004C49DF">
      <w:pPr>
        <w:spacing w:line="360" w:lineRule="auto"/>
        <w:rPr>
          <w:rFonts w:ascii="Times New Roman" w:hAnsi="Times New Roman" w:cs="Times New Roman"/>
          <w:b/>
          <w:bCs/>
        </w:rPr>
      </w:pPr>
      <w:r w:rsidRPr="004C49DF">
        <w:rPr>
          <w:rFonts w:ascii="Times New Roman" w:hAnsi="Times New Roman" w:cs="Times New Roman"/>
          <w:b/>
          <w:bCs/>
        </w:rPr>
        <w:t>Abstract</w:t>
      </w:r>
    </w:p>
    <w:p w14:paraId="6334EB83" w14:textId="77777777" w:rsidR="007655A3" w:rsidRPr="004C49DF" w:rsidRDefault="007655A3" w:rsidP="004C49DF">
      <w:pPr>
        <w:spacing w:line="360" w:lineRule="auto"/>
        <w:rPr>
          <w:rFonts w:ascii="Times New Roman" w:hAnsi="Times New Roman" w:cs="Times New Roman"/>
        </w:rPr>
      </w:pPr>
    </w:p>
    <w:p w14:paraId="16427C97" w14:textId="7480013D"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rapid expansion of data-driven governance, platform economies, and smart-city infrastructures has transformed privacy from a narrow individual interest into a foundational question of law, power, and democratic ordering. Contemporary legal systems are no longer asked merely to protect secrecy or confidentiality; they are increasingly required to regulate data extraction, algorithmic profiling, cross-border data transfers, and state–market cooperation in digitally mediated environments. This paper examines the evolution of data privacy law through three interrelated legal lenses: digital rights, data sovereignty, and cross-border governance. It argues that the traditional privacy paradigm, while still essential, is insufficient on its own to address the structural features of datafication. Instead, a modern legal framework must integrate individual rights protection, institutional accountability, and public-interest governance over digital infrastructures.</w:t>
      </w:r>
    </w:p>
    <w:p w14:paraId="48716511" w14:textId="46EDF885"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paper first revisits the conceptual foundations of privacy law, showing how classical understandings of privacy as liberty and control over personal information have expanded into broader concerns about data protection, discrimination, and platform power. It then compares the legal trajectories of the European Union, the United States, and China, with particular attention to the GDPR, the CCPA, and China’s Personal Information Protection Law (PIPL) and Data Security Law (DSL). While these systems differ in institutional design and normative emphasis, all three reveal tensions between economic innovation, national security, and rights protection. The paper next analyzes cross-border data governance as a central legal challenge of the digital era. It shows that conflicts over data localization, sovereignty, and international transfers are not merely technical regulatory disputes, but reflect deeper struggles over jurisdiction, market control, and geopolitical power.</w:t>
      </w:r>
    </w:p>
    <w:p w14:paraId="2B70990A" w14:textId="3263D78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Finally, the paper proposes a rights-based, pluralist legal framework for digital governance. Such a framework should move beyond compliance formalism and toward substantive protection of </w:t>
      </w:r>
      <w:r w:rsidRPr="004C49DF">
        <w:rPr>
          <w:rFonts w:ascii="Times New Roman" w:hAnsi="Times New Roman" w:cs="Times New Roman"/>
        </w:rPr>
        <w:lastRenderedPageBreak/>
        <w:t>autonomy, equality, and democratic participation. Privacy law must therefore be understood not only as a defensive shield against intrusion, but also as a constitutive branch of digital constitutionalism capable of shaping the legitimate conditions under which data may be collected, shared, processed, and governed. In this sense, the future of data privacy law lies in its capacity to connect personal information protection with broader legal commitments to accountability, fairness, and digital self-determination.</w:t>
      </w:r>
    </w:p>
    <w:p w14:paraId="19ABF1B2" w14:textId="56A62748"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Keywords: data privacy law; digital rights; data sovereignty; cross-border data flows; GDPR; PIPL; digital governance</w:t>
      </w:r>
    </w:p>
    <w:p w14:paraId="74640411" w14:textId="77777777" w:rsidR="007655A3" w:rsidRPr="004C49DF" w:rsidRDefault="007655A3" w:rsidP="004C49DF">
      <w:pPr>
        <w:spacing w:line="360" w:lineRule="auto"/>
        <w:rPr>
          <w:rFonts w:ascii="Times New Roman" w:hAnsi="Times New Roman" w:cs="Times New Roman"/>
        </w:rPr>
      </w:pPr>
    </w:p>
    <w:p w14:paraId="7063E4AE" w14:textId="3B509F1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 1. Introduction</w:t>
      </w:r>
    </w:p>
    <w:p w14:paraId="5D13D400" w14:textId="1EF382DB"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Law is increasingly being asked to govern a social order in which data has become a core economic asset, an instrument of public administration, and a mechanism of social classification. As digital infrastructures expand across markets, cities, and governance systems, personal data is no longer confined to discrete acts of collection. It is continuously generated, aggregated, inferred, traded, and operationalized across public and private domains. This transformation has produced a major challenge for legal theory and practice: how should law regulate a world in which data is not simply information about persons, but a resource through which persons are governed, evaluated, and influenced (Zuboff, 2019; Van Dijck, 2014; Sadowski, 2019)</w:t>
      </w:r>
      <w:r w:rsidR="00AC455B" w:rsidRPr="004C49DF">
        <w:rPr>
          <w:rFonts w:ascii="Times New Roman" w:hAnsi="Times New Roman" w:cs="Times New Roman"/>
        </w:rPr>
        <w:t>.</w:t>
      </w:r>
    </w:p>
    <w:p w14:paraId="3CC42007" w14:textId="690F3789"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Historically, privacy law was often framed around individual seclusion, confidentiality, or freedom from arbitrary interference. Classical privacy scholarship treated privacy as a condition of liberty and human dignity, while later work emphasized informational control and the ability of individuals to determine how personal data is accessed and used (Westin, 1968; Blume, 2010; Tavani &amp; Moor, 2001). Yet the contemporary digital environment has exposed the limits of purely individualistic approaches. Data processing today is deeply networked, inferential, and infrastructural. Individuals rarely understand the full scope of data extraction, and even where notice and consent formally exist, asymmetries of power remain profound (Pelteret &amp; Ophoff, 2016; Veliz, 2020).</w:t>
      </w:r>
    </w:p>
    <w:p w14:paraId="5D87F633" w14:textId="07D269A6"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This has led to a broader legal turn from privacy narrowly understood toward data protection, digital rights, and data governance. In Europe, privacy has increasingly been embedded within a fundamental-rights framework that links data protection to democratic legitimacy and constitutional order (Seubert &amp; Becker, 2021; Floridi, 2020). In the United States, privacy regulation has </w:t>
      </w:r>
      <w:r w:rsidRPr="004C49DF">
        <w:rPr>
          <w:rFonts w:ascii="Times New Roman" w:hAnsi="Times New Roman" w:cs="Times New Roman"/>
        </w:rPr>
        <w:lastRenderedPageBreak/>
        <w:t>traditionally been sectoral and fragmented, but rising concern over platform power, discrimination, and cross-border transfers has intensified calls for stronger legal harmonization (Cobb, 2016; Gillis &amp; Spiess, 2019). In China, the enactment of the Personal Information Protection Law and related legislation marks a major institutionalization of personal information governance, while also raising important questions about the relationship between privacy, data security, and state regulatory power (Zheng, 2021; Chen &amp; Sun, 2021; Zhou, 2021).</w:t>
      </w:r>
    </w:p>
    <w:p w14:paraId="58791E7B" w14:textId="2E2BC7D8"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paper argues that modern data privacy law must be understood as part of a larger legal architecture for digital society. Privacy can no longer be treated solely as an individual consumer protection issue. Rather, it has become a structural legal domain concerned with the allocation of informational power among individuals, corporations, and states. The central claim of this paper is that an adequate legal response to datafication requires the integration of three dimensions: first, privacy and personal information protection as rights; second, data sovereignty as a question of jurisdiction, control, and collective autonomy; and third, cross-border data governance as a problem of legal coordination in a fragmented international order.</w:t>
      </w:r>
    </w:p>
    <w:p w14:paraId="5FF0AAE4" w14:textId="609E6855"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 2. From Privacy to Data Governance: Expanding the Legal Paradigm</w:t>
      </w:r>
    </w:p>
    <w:p w14:paraId="50161F97" w14:textId="38156DE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legal meaning of privacy has evolved considerably over time. Early approaches stressed personal autonomy, dignity, and freedom from intrusion. Westin’s influential formulation linked privacy to the individual’s claim to determine when, how, and to what extent information about them is communicated to others (Westin, 1968). Later work refined this idea through the language of informational control, arguing that privacy law should protect persons against unauthorized access, misuse, and circulation of data (Blume, 2010; Tavani &amp; Moor, 2001). These foundations remain important, but they are increasingly inadequate in the face of platform-based economies and large-scale analytics.</w:t>
      </w:r>
    </w:p>
    <w:p w14:paraId="13C9B76F" w14:textId="2927104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rise of datafication has changed both the object and scale of legal concern. As Van Dijck (2014) explains, datafication is not just a technical development; it is also an ideological and institutional process that transforms social life into quantifiable data relations. Sadowski (2019) goes further by showing how data increasingly functions as capital, embedded in systems of extraction and accumulation. In this context, privacy harms are no longer limited to exposure or disclosure. They include behavioral profiling, manipulative targeting, exclusionary sorting, and persistent asymmetries in informational power.</w:t>
      </w:r>
    </w:p>
    <w:p w14:paraId="4CA568E3" w14:textId="5AA7BB25"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This broader environment has generated a shift from privacy law to data governance. Data governance refers not merely to compliance rules, but to the institutional arrangements through </w:t>
      </w:r>
      <w:r w:rsidRPr="004C49DF">
        <w:rPr>
          <w:rFonts w:ascii="Times New Roman" w:hAnsi="Times New Roman" w:cs="Times New Roman"/>
        </w:rPr>
        <w:lastRenderedPageBreak/>
        <w:t>which data is collected, accessed, shared, and controlled (Micheli et al., 2020; OECD, 2019). It includes questions of stewardship, accountability, interoperability, and public oversight. The legal significance of this shift is considerable. It implies that law must regulate not only individual transactions involving personal data, but also the structural conditions under which digital systems operate.</w:t>
      </w:r>
    </w:p>
    <w:p w14:paraId="5512C07D" w14:textId="6FC36E5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A key contribution of this broader framework is its ability to connect privacy with equality and non-discrimination. Big data systems can intensify discrimination through opaque sorting, proxy variables, and algorithmic inference even where explicit sensitive categories are not used (Gillis &amp; Spiess, 2019). Thus, the law of privacy increasingly overlaps with anti-discrimination law, consumer protection, administrative law, and constitutional principles. The legal question is not only whether data was lawfully collected, but whether its use produces unjustified harms, exclusions, or concentrations of power.</w:t>
      </w:r>
    </w:p>
    <w:p w14:paraId="09B60EEC" w14:textId="2D9C378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 3. Comparative Legal Approaches: The EU, the United States, and China</w:t>
      </w:r>
    </w:p>
    <w:p w14:paraId="1AB0D943" w14:textId="5D0C08A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3.1 The European Union: Fundamental Rights and Regulatory Constitutionalism</w:t>
      </w:r>
    </w:p>
    <w:p w14:paraId="41A2AA09" w14:textId="31B4756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European Union has developed the most comprehensive rights-based model of data protection. The GDPR reflects a legal architecture in which personal data protection is closely linked to dignity, autonomy, and democratic legitimacy. European debates increasingly situate data governance within a wider project of digital sovereignty, emphasizing that technological infrastructures should remain compatible with public values and institutional accountability (Floridi, 2020; European Commission, 2020; EDPB-EDPS, 2021).</w:t>
      </w:r>
    </w:p>
    <w:p w14:paraId="7DD78971" w14:textId="22AD1078"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approach has two notable strengths. First, it treats personal data protection as more than a market correction; it is framed as a constitutional commitment. Second, it extends legal scrutiny to cross-border processing, platform behavior, and public-private information ecosystems. The emerging European Data Governance Act and related strategic initiatives further demonstrate that European law is moving beyond individual rights toward institutional models of trusted sharing, stewardship, and governance (European Commission, 2020; European Commission, 2021).</w:t>
      </w:r>
    </w:p>
    <w:p w14:paraId="084C3BC5" w14:textId="645D80C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At the same time, the EU model faces enforcement and scalability challenges. Strong legal principles do not automatically resolve problems of platform dominance, opaque algorithmic decision-making, or global transfer dependency. Nevertheless, the European framework remains the clearest example of privacy law evolving into digital constitutionalism.</w:t>
      </w:r>
    </w:p>
    <w:p w14:paraId="0C087968" w14:textId="7222C43C"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lastRenderedPageBreak/>
        <w:t>3.2 The United States: Sectoral Fragmentation and Market-Oriented Regulation</w:t>
      </w:r>
    </w:p>
    <w:p w14:paraId="244BA356" w14:textId="3ACF1F7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United States has historically relied on a fragmented and sector-specific privacy model. Instead of a single omnibus data protection statute, U.S. law has developed through a patchwork of sectoral laws, agency action, and state-level initiatives. The CCPA represents an important move toward broader consumer privacy protection, but the overall framework remains less unified than the European model (Cobb, 2016; Ernst &amp; Young, 2021).</w:t>
      </w:r>
    </w:p>
    <w:p w14:paraId="3800E903" w14:textId="36F7FB9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legal structure reflects the broader American tendency to prioritize innovation, competition, and private ordering. Yet increasing concern about data-driven discrimination, platform surveillance, and cross-border data transfers has exposed the limitations of this approach. As Voss (2020) notes, international transfer questions increasingly require more coherent legal responses, especially where U.S. practices diverge from stricter foreign regimes. Likewise, Gillis and Spiess (2019) show that data-intensive systems can produce discriminatory outcomes even in the absence of overtly unlawful classifications, suggesting that conventional consumer choice frameworks are insufficient.</w:t>
      </w:r>
    </w:p>
    <w:p w14:paraId="60713284" w14:textId="627CA3E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U.S. experience illustrates an important lesson: privacy law cannot rely solely on disclosure and consent mechanisms where informational asymmetries are extreme. In a data-intensive society, legal protection must address structural power rather than only individual transactions.</w:t>
      </w:r>
    </w:p>
    <w:p w14:paraId="68CCA45C" w14:textId="62A7D38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3.3 China: Personal Information Protection, Data Security, and State-Centered Governance</w:t>
      </w:r>
    </w:p>
    <w:p w14:paraId="27821448" w14:textId="5B6A548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China’s recent legal developments mark one of the most significant transformations in contemporary data law. The Personal Information Protection Law (PIPL) and the Data Security Law (DSL) have created a more formalized framework for regulating personal data, corporate compliance, and national data security concerns (Zheng, 2021; Chen &amp; Sun, 2021). These developments are especially important because China had long been criticized for fragmented protections and an underdeveloped privacy-rights framework despite rapid digital expansion (Jingchun, 2005; Yao-Huai, 2005).</w:t>
      </w:r>
    </w:p>
    <w:p w14:paraId="4450D710"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A central legal issue in China is the relationship between personal information protection and the right to privacy. Zhou (2021) argues that these concepts are neither entirely identical nor wholly separate; rather, they intersect in complex ways within contemporary Chinese law. This distinction matters because personal information law addresses not only private intrusion but also processing, circulation, and governance structures involving data. In other words, Chinese law increasingly recognizes that modern privacy problems are inseparable from systemic information governance.</w:t>
      </w:r>
    </w:p>
    <w:p w14:paraId="6CB97BCC"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lastRenderedPageBreak/>
        <w:t>At the same time, China’s legal framework differs from the EU model in important ways. Data protection coexists with a strong emphasis on security, public order, and sovereign regulatory control. Zheng (2021) characterizes the global landscape as a “trilemma” between different paradigms of cross-border transfer regulation in the EU, U.S., and China. China’s model illustrates how privacy protection may develop within a broader state-centered logic of data governance, rather than purely liberal-rights constitutionalism.</w:t>
      </w:r>
    </w:p>
    <w:p w14:paraId="011E0D70" w14:textId="193AB11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4. Data Sovereignty as a Legal Concept</w:t>
      </w:r>
    </w:p>
    <w:p w14:paraId="18F4F757"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rise of data sovereignty reflects dissatisfaction with privacy law understood only as individual consent. Data sovereignty asks who has authority over data, under what jurisdiction, and according to what normative principles. It addresses the legal and political conditions under which data infrastructures are governed across territories and institutions (Hummel et al., 2021; Couture &amp; Toupin, 2019).</w:t>
      </w:r>
    </w:p>
    <w:p w14:paraId="000EDBFB"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In legal terms, data sovereignty has at least three dimensions. First, it concerns territorial and jurisdictional control, especially where data is stored or processed across borders. Second, it involves collective autonomy: whether communities, publics, or states retain meaningful authority over data infrastructures that shape social life. Third, it relates to technological dependency and platform concentration, which may undermine legal autonomy even in formally sovereign jurisdictions (Floridi, 2020; De Filippi &amp; McCarthy, 2012).</w:t>
      </w:r>
    </w:p>
    <w:p w14:paraId="59DD4824"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concept is attractive because it highlights the structural nature of digital dependence. Yet it must be handled carefully. If framed too narrowly, data sovereignty can justify excessive localization or state control without adequately protecting individual rights. If framed too broadly, it risks becoming a symbolic slogan detached from operational legal safeguards. The challenge, therefore, is to connect sovereignty with rights, accountability, and legitimate governance rather than mere control.</w:t>
      </w:r>
    </w:p>
    <w:p w14:paraId="4AD31814"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Recent discussions on data cooperatives, stewardship, and alternative governance models suggest one way forward. These approaches try to mediate between individualized consent and centralized state or corporate control by creating institutions that manage data in the public interest (Calzada, 2021; Ada Lovelace Institute, 2021). Legally, such models may help move privacy law beyond the binary of laissez-faire extraction versus rigid state command.</w:t>
      </w:r>
    </w:p>
    <w:p w14:paraId="499E5491" w14:textId="7BA9841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5. Cross-Border Data Flows and the Limits of Territorial Law</w:t>
      </w:r>
    </w:p>
    <w:p w14:paraId="7818B94F"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Cross-border data transfer is now one of the most difficult issues in digital law. Data moves across </w:t>
      </w:r>
      <w:r w:rsidRPr="004C49DF">
        <w:rPr>
          <w:rFonts w:ascii="Times New Roman" w:hAnsi="Times New Roman" w:cs="Times New Roman"/>
        </w:rPr>
        <w:lastRenderedPageBreak/>
        <w:t>jurisdictions with ease, but legal systems remain territorially bounded. This produces conflicts over applicable law, enforcement, adequacy, localization, and access for law-enforcement or national security purposes. Chin and Zhao (2022) show that even international trade agreements struggle to resolve these tensions, as commitments to digital trade often collide with domestic regulatory priorities. Similarly, Voss (2020) demonstrates that the GDPR’s transfer regime has become a focal point for broader disputes over legal protection, sovereignty, and market integration.</w:t>
      </w:r>
    </w:p>
    <w:p w14:paraId="34C6BC60"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cross-border problem is not only doctrinal but constitutional in character. It asks who sets the terms of lawful digital exchange and whose values govern data once it leaves one jurisdiction and enters another. Zheng (2021) captures this tension by comparing the EU, U.S., and China as distinct regulatory paradigms. The EU emphasizes rights and adequacy, the U.S. historically privileges market circulation and sectoral governance, and China combines protection with strong sovereign oversight. These different legal logics make universal harmonization difficult.</w:t>
      </w:r>
    </w:p>
    <w:p w14:paraId="693E2382"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difficulty is particularly visible in contexts such as smart cities, cloud computing, and global platform infrastructures. Data collected locally may be processed transnationally, monetized by foreign firms, and reused in contexts far removed from the original purpose of collection. Such dynamics weaken the effectiveness of purely domestic legal safeguards (Esposito et al., 2019; De Filippi &amp; McCarthy, 2012). They also intensify the need for interoperable legal standards and institutional cooperation.</w:t>
      </w:r>
    </w:p>
    <w:p w14:paraId="6331C125"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Accordingly, future lawmaking should not assume that absolute harmonization is realistic. A more plausible legal objective is managed interoperability: sufficiently shared standards for rights protection, accountability, and transfer governance, while allowing jurisdictions to preserve legitimate constitutional differences. This requires stronger mechanisms for transparency, enforceable transfer conditions, and meaningful remedies for affected individuals.</w:t>
      </w:r>
    </w:p>
    <w:p w14:paraId="4B0696A9" w14:textId="0B00E750"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6. Public Health, Smart Governance, and the Emergency Problem</w:t>
      </w:r>
    </w:p>
    <w:p w14:paraId="784F6367" w14:textId="3CB6ACF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The COVID-19 period demonstrated how rapidly privacy protections can be tested by urgent public needs. Contact tracing, risk scoring, and digital health codes expanded the use of surveillance technologies in the name of public health. Kitchin (2020) warns against treating civil liberties and public health as mutually exclusive categories, arguing instead for frameworks that preserve both. Ioannou and Tussyadiah (2021) likewise show that public attitudes toward surveillance during crises are often contingent and unstable, which means emergency measures can normalize intrusive </w:t>
      </w:r>
      <w:r w:rsidRPr="004C49DF">
        <w:rPr>
          <w:rFonts w:ascii="Times New Roman" w:hAnsi="Times New Roman" w:cs="Times New Roman"/>
        </w:rPr>
        <w:lastRenderedPageBreak/>
        <w:t>practices if legal safeguards are weak.</w:t>
      </w:r>
    </w:p>
    <w:p w14:paraId="1D7E2694" w14:textId="471790AC"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In China, discussions of pandemic governance highlighted how surveillance technologies could be appropriated in ways that risk long-term privacy erosion (Liu &amp; Zhao, 2021). More broadly, algorithmic systems used in crisis conditions can intensify opacity and reduce avenues for contestation. Law therefore must address not only ordinary processing, but exceptional governance contexts in which proportionality, necessity, and sunset mechanisms become essential.</w:t>
      </w:r>
    </w:p>
    <w:p w14:paraId="4AB732DF" w14:textId="6E15EEB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smart-city context further complicates matters. Smart governance systems promise efficiency, responsiveness, and optimization, yet they can also deepen urban inequality, normalize pervasive monitoring, and shift power toward opaque technical actors (Löfgren &amp; Webster, 2020; Caragliu &amp; Del Bo, 2021; Barns, 2020). For law, the central issue is whether digital urbanism remains accountable to public values. Privacy law, in this context, becomes part of a broader jurisprudence of civic protection and democratic governance.</w:t>
      </w:r>
    </w:p>
    <w:p w14:paraId="137DB438" w14:textId="3B8394BC"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 7. Toward a Rights-Based Pluralist Model of Data Privacy Law</w:t>
      </w:r>
    </w:p>
    <w:p w14:paraId="58779033"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paper proposes a rights-based pluralist model for future data privacy law. Such a model would retain the core achievements of personal information protection while extending legal attention to structural power, institutional design, and transnational coordination.</w:t>
      </w:r>
    </w:p>
    <w:p w14:paraId="288D5105"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First, privacy law should remain anchored in substantive rights rather than mere procedural notice. Consent has value, but it cannot bear the full weight of digital governance where bargaining asymmetries and infrastructural dependence are pervasive. Rights to access, correction, deletion, and explanation are important, but they must be accompanied by stronger duties of justification, minimization, and accountability.</w:t>
      </w:r>
    </w:p>
    <w:p w14:paraId="0AD99762"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Second, privacy law should be integrated with anti-discrimination and fairness norms. Where data processing produces exclusionary or manipulative effects, legal assessment must go beyond whether data was “obtained lawfully” and ask whether the resulting system is substantively just (Gillis &amp; Spiess, 2019).</w:t>
      </w:r>
    </w:p>
    <w:p w14:paraId="598B39F8"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Third, legal frameworks should institutionalize data stewardship and public-interest governance. Individual control is necessary but insufficient. In many high-impact settings, collective institutions are needed to mediate access, ensure representational fairness, and prevent domination by either the state or dominant platforms (Ada Lovelace Institute, 2021; Calzada et al., 2021).</w:t>
      </w:r>
    </w:p>
    <w:p w14:paraId="06C53F6A"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Fourth, cross-border governance should be guided by interoperable baseline commitments rather </w:t>
      </w:r>
      <w:r w:rsidRPr="004C49DF">
        <w:rPr>
          <w:rFonts w:ascii="Times New Roman" w:hAnsi="Times New Roman" w:cs="Times New Roman"/>
        </w:rPr>
        <w:lastRenderedPageBreak/>
        <w:t>than lowest-common-denominator deregulation. These commitments should include lawful basis requirements, purpose limitation, redress mechanisms, public transparency, and enforceable transfer safeguards (Voss, 2020; Chin &amp; Zhao, 2022).</w:t>
      </w:r>
    </w:p>
    <w:p w14:paraId="247BA891"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Ultimately, data privacy law should be reconceived as part of digital constitutionalism. Its purpose is not only to reduce risk, but to shape the legitimate conditions of digital order. In that sense, privacy law protects not just secrets, but citizenship, autonomy, and democratic membership in a datafied society.</w:t>
      </w:r>
    </w:p>
    <w:p w14:paraId="5BB9BFD2" w14:textId="3EDABE20"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8. Conclusion</w:t>
      </w:r>
    </w:p>
    <w:p w14:paraId="38146EEF"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The legal future of privacy lies in recognizing that personal data protection is no longer a peripheral issue of consumer compliance. It is a central field of law through which societies negotiate power, accountability, and legitimacy in the digital age. The comparative experiences of the EU, the United States, and China demonstrate that there is no single path toward digital governance, but they also reveal a common reality: data law now sits at the intersection of rights, sovereignty, and transnational regulation.</w:t>
      </w:r>
    </w:p>
    <w:p w14:paraId="63FA3D18"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This paper has argued that traditional privacy concepts remain indispensable but incomplete. A contemporary legal response must move beyond narrow secrecy-based approaches and confront the structural conditions of data extraction, algorithmic governance, and jurisdictional fragmentation. Digital rights, data sovereignty, and cross-border governance should therefore not be treated as separate debates. Together, they form the emerging core of modern data privacy law.</w:t>
      </w:r>
    </w:p>
    <w:p w14:paraId="262DFBB9" w14:textId="7777777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If law is to remain effective in a datafied society, it must do more than manage information flows. It must define the normative boundaries of digital power. That task requires stronger rights protection, more accountable institutions, and a legal imagination capable of linking individual dignity with collective democratic control over data infrastructures.</w:t>
      </w:r>
    </w:p>
    <w:p w14:paraId="4D1EC006" w14:textId="77777777" w:rsidR="007655A3" w:rsidRPr="004C49DF" w:rsidRDefault="007655A3" w:rsidP="004C49DF">
      <w:pPr>
        <w:spacing w:line="360" w:lineRule="auto"/>
        <w:rPr>
          <w:rFonts w:ascii="Times New Roman" w:hAnsi="Times New Roman" w:cs="Times New Roman"/>
        </w:rPr>
      </w:pPr>
    </w:p>
    <w:p w14:paraId="2FB97B86" w14:textId="68BCB188" w:rsidR="007655A3" w:rsidRPr="004C49DF" w:rsidRDefault="007655A3" w:rsidP="004C49DF">
      <w:pPr>
        <w:spacing w:line="360" w:lineRule="auto"/>
        <w:rPr>
          <w:rFonts w:ascii="Times New Roman" w:hAnsi="Times New Roman" w:cs="Times New Roman"/>
          <w:b/>
          <w:bCs/>
        </w:rPr>
      </w:pPr>
      <w:r w:rsidRPr="004C49DF">
        <w:rPr>
          <w:rFonts w:ascii="Times New Roman" w:hAnsi="Times New Roman" w:cs="Times New Roman"/>
          <w:b/>
          <w:bCs/>
        </w:rPr>
        <w:t>References</w:t>
      </w:r>
    </w:p>
    <w:p w14:paraId="0637F05D" w14:textId="2F8E5C59"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Ada Lovelace Institute. (2021). Exploring legal mechanisms for data stewardship.</w:t>
      </w:r>
    </w:p>
    <w:p w14:paraId="2B0CD79C" w14:textId="6B88B43B"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Barns, S. (2020). Re-engineering the city: Platform ecosystems and the capture of urban big data. Frontiers in Sustainable Cities, 2, 32.</w:t>
      </w:r>
    </w:p>
    <w:p w14:paraId="26B83B83" w14:textId="561B1AB0"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Blume, P. (2010). Data protection and privacy—Basic concepts in a changing world. Scandinavian Studies in Law, 56, 151–164.</w:t>
      </w:r>
    </w:p>
    <w:p w14:paraId="04CFE124" w14:textId="51F1999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lastRenderedPageBreak/>
        <w:t>Calzada, I. (2021). Data co-operatives through data sovereignty. Smart Cities, 4, 1158–1172.</w:t>
      </w:r>
    </w:p>
    <w:p w14:paraId="35FCDFAC" w14:textId="09144F60"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Calzada, I., Pérez-Batlle, M., &amp; Batlle-Montserrat, J. (2021). People-centered smart cities: An exploratory action research on the Cities’ Coalition for Digital Rights. Journal of Urban Affairs, 43, 1–26.</w:t>
      </w:r>
    </w:p>
    <w:p w14:paraId="411D88CD" w14:textId="0AF5C24D"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Caragliu, A., &amp; Del Bo, C. F. (2021). Smart cities and urban inequality. Regional Studies, 56, 1097–1112.</w:t>
      </w:r>
    </w:p>
    <w:p w14:paraId="2515E69C" w14:textId="540FD51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Chen, J., &amp; Sun, J. (2021). Understanding the Chinese Data Security Law. International Cybersecurity Law Review, 2, 209–221.</w:t>
      </w:r>
    </w:p>
    <w:p w14:paraId="543CA2BF" w14:textId="27EBF4F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Chin, Y.-C., &amp; Zhao, J. (2022). Governing cross-border data flows: International trade agreements and their limits. Laws, 11(63).</w:t>
      </w:r>
    </w:p>
    <w:p w14:paraId="353C5C71" w14:textId="0991A1A4"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Cobb, S. (2016). Data privacy and data protection: US law and legislation. ESET White Paper.</w:t>
      </w:r>
    </w:p>
    <w:p w14:paraId="67B339D5" w14:textId="28A2846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Couture, S., &amp; Toupin, S. (2019). What does the notion of ‘sovereignty’ mean when referring to the digital? New Media &amp; Society, 21(10), 2305–2322.</w:t>
      </w:r>
    </w:p>
    <w:p w14:paraId="61BE97F6" w14:textId="5E6FE93D"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De Filippi, P., &amp; McCarthy, S. (2012). Cloud computing: Centralisation and data sovereignty. European Journal of Law and Technology, 3(2), 1–18.</w:t>
      </w:r>
    </w:p>
    <w:p w14:paraId="67D8B4AC" w14:textId="51170EE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EDPB-EDPS. (2021). Joint Opinion 03/2021 on the proposal for a regulation of the European Parliament and of the Council on European Data Governance Act.</w:t>
      </w:r>
    </w:p>
    <w:p w14:paraId="7F98116F" w14:textId="07D860D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Ernst &amp; Young. (2021). The California Consumer Privacy Act: Overview and comparison to the EU GDPR.</w:t>
      </w:r>
    </w:p>
    <w:p w14:paraId="07E1BF32" w14:textId="5B51507E"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Esposito, C., Castiglione, A., &amp; Frattini, F. (2019). On data sovereignty in cloud-based computation offloading for smart cities applications. IEEE Internet of Things Journal, 6, 4251–4535.</w:t>
      </w:r>
    </w:p>
    <w:p w14:paraId="7A709BFB" w14:textId="1B292019"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European Commission. (2020). A European strategy for data.</w:t>
      </w:r>
    </w:p>
    <w:p w14:paraId="4D1CDC93" w14:textId="758694D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European Commission. (2021). Proposal regulation: European Data Governance Act.</w:t>
      </w:r>
    </w:p>
    <w:p w14:paraId="6746DEEC" w14:textId="50EF2332"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Floridi, L. (2020). The flight for digital sovereignty: What it is, and why it matters, especially for the EU. Philosophy &amp; Technology, 33, 369–378.</w:t>
      </w:r>
    </w:p>
    <w:p w14:paraId="24E2F6AD" w14:textId="2E2E331C"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Gillis, T. B., &amp; Spiess, J. L. (2019). Big data and discrimination. University of Chicago Law Review, 86, 459–487.</w:t>
      </w:r>
    </w:p>
    <w:p w14:paraId="321E16C0" w14:textId="639D4FA2"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Hummel, P., Braun, M., Tretter, M., &amp; Dabrock, P. (2021). Data sovereignty: A review. Big Data &amp; Society, 8, 1–17.</w:t>
      </w:r>
    </w:p>
    <w:p w14:paraId="475B9DAA" w14:textId="456ADCC6"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Ioannou, A., &amp; Tussyadiah, I. (2021). Privacy and surveillance attitudes during health crises: </w:t>
      </w:r>
      <w:r w:rsidRPr="004C49DF">
        <w:rPr>
          <w:rFonts w:ascii="Times New Roman" w:hAnsi="Times New Roman" w:cs="Times New Roman"/>
        </w:rPr>
        <w:lastRenderedPageBreak/>
        <w:t>Acceptance of surveillance and privacy protection behaviours. Technology in Society, 67, 101774.</w:t>
      </w:r>
    </w:p>
    <w:p w14:paraId="20BC5B66" w14:textId="539BF98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Jingchun, C. (2005). Protecting the right to privacy in China. Victoria University of Wellington Law Review, 36, 645.</w:t>
      </w:r>
    </w:p>
    <w:p w14:paraId="750B2D52" w14:textId="50625D47"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Kitchin, R. (2020). Civil liberties or public health, or public liberties and public health? Using surveillance technologies to tackle the spread of COVID-19. Space and Polity, 24, 362–381.</w:t>
      </w:r>
    </w:p>
    <w:p w14:paraId="48D697C0" w14:textId="0E33A59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Liu, J., &amp; Zhao, H. (2021). Privacy lost: Appropriating surveillance technology in China’s fight against COVID-19. Business Horizons, 64, 743–756.</w:t>
      </w:r>
    </w:p>
    <w:p w14:paraId="6B888F6B" w14:textId="471E5E2F"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Löfgren, K., &amp; Webster, C. W. R. (2020). The value of big data in government: The case of smart cities. Big Data &amp; Society, 7, 2053951720912775.</w:t>
      </w:r>
    </w:p>
    <w:p w14:paraId="70F2E092" w14:textId="49740532"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Micheli, M., Ponti, M., Craglia, M., &amp; Suman, A. B. (2020). Emerging models of data governance in the age of datafication. Big Data &amp; Society, 7, 1–15.</w:t>
      </w:r>
    </w:p>
    <w:p w14:paraId="309E460A" w14:textId="07B1015D"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OECD. (2019). Data in the digital age.</w:t>
      </w:r>
    </w:p>
    <w:p w14:paraId="42F1B0FE" w14:textId="5EACF30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Pelteret, M., &amp; Ophoff, J. (2016). A review of information privacy and its importance to consumers and organizations. Informing Science: The International Journal of an Emerging Transdiscipline, 19, 277–301.</w:t>
      </w:r>
    </w:p>
    <w:p w14:paraId="4D1FE56D" w14:textId="31092021"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Sadowski, J. (2019). When data is capital: Datafication, accumulation, and extraction. Big Data &amp; Society, 6, 1–12.</w:t>
      </w:r>
    </w:p>
    <w:p w14:paraId="5BB168AD" w14:textId="2F28515D"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Seubert, S., &amp; Becker, C. (2021). The democratic impact of strengthening European fundamental rights in the digital age: The example of privacy protection. German Law Journal, 22, 31–44.</w:t>
      </w:r>
    </w:p>
    <w:p w14:paraId="4009AC22" w14:textId="2707EB5A"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Tavani, H. T., &amp; Moor, J. H. (2001). Privacy protection, control of information, and privacy-enhancing technologies. SIGCAS Computers and Society, 31(1), 6–11.</w:t>
      </w:r>
    </w:p>
    <w:p w14:paraId="4E1D74C9" w14:textId="2B058A4B"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Van Dijck, J. (2014). Datafication, dataism and dataveillance: Big data between scientific paradigm and ideology. Surveillance &amp; Society, 12(2), 197–208.</w:t>
      </w:r>
    </w:p>
    <w:p w14:paraId="5B161417" w14:textId="58EEE440"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Veliz, C. (2020). Privacy is power: Why and how you should take back control of your data. Corgi.</w:t>
      </w:r>
    </w:p>
    <w:p w14:paraId="790DA4B9" w14:textId="1851ED75"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Voss, W. G. (2020). Cross-border data flows, the GDPR, and data governance. Washington International Law Journal, 29, 485–532.</w:t>
      </w:r>
    </w:p>
    <w:p w14:paraId="1B753C67" w14:textId="59E86B18"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Westin, A. F. (1968). Privacy and freedom. Washington and Lee Law Review, 25, 166–170.</w:t>
      </w:r>
    </w:p>
    <w:p w14:paraId="7B9B042C" w14:textId="67A1C8AB"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Zheng, G. (2021). Trilemma and tripartition: The regulatory paradigms of cross-border personal data transfer in the EU, the U.S., and China. Computer Law &amp; Security Review, 43, 105610.</w:t>
      </w:r>
    </w:p>
    <w:p w14:paraId="04FBF423" w14:textId="3587A3C3"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 xml:space="preserve">Zhou, H. H. (2021). Parallel or intersection: The relationship between personal information </w:t>
      </w:r>
      <w:r w:rsidRPr="004C49DF">
        <w:rPr>
          <w:rFonts w:ascii="Times New Roman" w:hAnsi="Times New Roman" w:cs="Times New Roman"/>
        </w:rPr>
        <w:lastRenderedPageBreak/>
        <w:t>protection and right to privacy in China. Peking University Law Journal, 33, 1167–1187.</w:t>
      </w:r>
    </w:p>
    <w:p w14:paraId="50D1A89F" w14:textId="00982263" w:rsidR="007655A3" w:rsidRPr="004C49DF" w:rsidRDefault="007655A3" w:rsidP="004C49DF">
      <w:pPr>
        <w:spacing w:line="360" w:lineRule="auto"/>
        <w:rPr>
          <w:rFonts w:ascii="Times New Roman" w:hAnsi="Times New Roman" w:cs="Times New Roman"/>
        </w:rPr>
      </w:pPr>
      <w:r w:rsidRPr="004C49DF">
        <w:rPr>
          <w:rFonts w:ascii="Times New Roman" w:hAnsi="Times New Roman" w:cs="Times New Roman"/>
        </w:rPr>
        <w:t>Zuboff, S. (2019). The age of surveillance capitalism: The fight for a human future at the new frontier of power. Profile.</w:t>
      </w:r>
    </w:p>
    <w:p w14:paraId="31F33EEA" w14:textId="6953846F" w:rsidR="00F5337C" w:rsidRPr="004C49DF" w:rsidRDefault="00F5337C" w:rsidP="004C49DF">
      <w:pPr>
        <w:spacing w:line="360" w:lineRule="auto"/>
        <w:rPr>
          <w:rFonts w:ascii="Times New Roman" w:hAnsi="Times New Roman" w:cs="Times New Roman"/>
        </w:rPr>
      </w:pPr>
    </w:p>
    <w:sectPr w:rsidR="00F5337C" w:rsidRPr="004C4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A3"/>
    <w:rsid w:val="000454EE"/>
    <w:rsid w:val="000C59F3"/>
    <w:rsid w:val="001574CB"/>
    <w:rsid w:val="00301A6A"/>
    <w:rsid w:val="003050A2"/>
    <w:rsid w:val="003070A4"/>
    <w:rsid w:val="003B371B"/>
    <w:rsid w:val="003E225A"/>
    <w:rsid w:val="00492D5C"/>
    <w:rsid w:val="004C49DF"/>
    <w:rsid w:val="004C71EB"/>
    <w:rsid w:val="006334CE"/>
    <w:rsid w:val="006360E7"/>
    <w:rsid w:val="00654E2B"/>
    <w:rsid w:val="006B1953"/>
    <w:rsid w:val="007655A3"/>
    <w:rsid w:val="00777508"/>
    <w:rsid w:val="00A66DAD"/>
    <w:rsid w:val="00AC455B"/>
    <w:rsid w:val="00BD1A29"/>
    <w:rsid w:val="00C10CB7"/>
    <w:rsid w:val="00D871A5"/>
    <w:rsid w:val="00DB687C"/>
    <w:rsid w:val="00F0374B"/>
    <w:rsid w:val="00F5337C"/>
    <w:rsid w:val="00F81605"/>
    <w:rsid w:val="00F86100"/>
    <w:rsid w:val="00FA4F73"/>
    <w:rsid w:val="00FF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992FBE"/>
  <w15:chartTrackingRefBased/>
  <w15:docId w15:val="{90BB9B98-D05A-CF47-8AC8-F3CFACD2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765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5A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5A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5A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55A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5A3"/>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7655A3"/>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7655A3"/>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7655A3"/>
    <w:rPr>
      <w:rFonts w:cstheme="majorBidi"/>
      <w:noProof/>
      <w:color w:val="2F5496" w:themeColor="accent1" w:themeShade="BF"/>
      <w:sz w:val="28"/>
      <w:szCs w:val="28"/>
    </w:rPr>
  </w:style>
  <w:style w:type="character" w:customStyle="1" w:styleId="50">
    <w:name w:val="标题 5 字符"/>
    <w:basedOn w:val="a0"/>
    <w:link w:val="5"/>
    <w:uiPriority w:val="9"/>
    <w:semiHidden/>
    <w:rsid w:val="007655A3"/>
    <w:rPr>
      <w:rFonts w:cstheme="majorBidi"/>
      <w:noProof/>
      <w:color w:val="2F5496" w:themeColor="accent1" w:themeShade="BF"/>
      <w:sz w:val="24"/>
    </w:rPr>
  </w:style>
  <w:style w:type="character" w:customStyle="1" w:styleId="60">
    <w:name w:val="标题 6 字符"/>
    <w:basedOn w:val="a0"/>
    <w:link w:val="6"/>
    <w:uiPriority w:val="9"/>
    <w:semiHidden/>
    <w:rsid w:val="007655A3"/>
    <w:rPr>
      <w:rFonts w:cstheme="majorBidi"/>
      <w:b/>
      <w:bCs/>
      <w:noProof/>
      <w:color w:val="2F5496" w:themeColor="accent1" w:themeShade="BF"/>
    </w:rPr>
  </w:style>
  <w:style w:type="character" w:customStyle="1" w:styleId="70">
    <w:name w:val="标题 7 字符"/>
    <w:basedOn w:val="a0"/>
    <w:link w:val="7"/>
    <w:uiPriority w:val="9"/>
    <w:semiHidden/>
    <w:rsid w:val="007655A3"/>
    <w:rPr>
      <w:rFonts w:cstheme="majorBidi"/>
      <w:b/>
      <w:bCs/>
      <w:noProof/>
      <w:color w:val="595959" w:themeColor="text1" w:themeTint="A6"/>
    </w:rPr>
  </w:style>
  <w:style w:type="character" w:customStyle="1" w:styleId="80">
    <w:name w:val="标题 8 字符"/>
    <w:basedOn w:val="a0"/>
    <w:link w:val="8"/>
    <w:uiPriority w:val="9"/>
    <w:semiHidden/>
    <w:rsid w:val="007655A3"/>
    <w:rPr>
      <w:rFonts w:cstheme="majorBidi"/>
      <w:noProof/>
      <w:color w:val="595959" w:themeColor="text1" w:themeTint="A6"/>
    </w:rPr>
  </w:style>
  <w:style w:type="character" w:customStyle="1" w:styleId="90">
    <w:name w:val="标题 9 字符"/>
    <w:basedOn w:val="a0"/>
    <w:link w:val="9"/>
    <w:uiPriority w:val="9"/>
    <w:semiHidden/>
    <w:rsid w:val="007655A3"/>
    <w:rPr>
      <w:rFonts w:eastAsiaTheme="majorEastAsia" w:cstheme="majorBidi"/>
      <w:noProof/>
      <w:color w:val="595959" w:themeColor="text1" w:themeTint="A6"/>
    </w:rPr>
  </w:style>
  <w:style w:type="paragraph" w:styleId="a3">
    <w:name w:val="Title"/>
    <w:basedOn w:val="a"/>
    <w:next w:val="a"/>
    <w:link w:val="a4"/>
    <w:uiPriority w:val="10"/>
    <w:qFormat/>
    <w:rsid w:val="007655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5A3"/>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7655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5A3"/>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7655A3"/>
    <w:pPr>
      <w:spacing w:before="160" w:after="160"/>
      <w:jc w:val="center"/>
    </w:pPr>
    <w:rPr>
      <w:i/>
      <w:iCs/>
      <w:color w:val="404040" w:themeColor="text1" w:themeTint="BF"/>
    </w:rPr>
  </w:style>
  <w:style w:type="character" w:customStyle="1" w:styleId="a8">
    <w:name w:val="引用 字符"/>
    <w:basedOn w:val="a0"/>
    <w:link w:val="a7"/>
    <w:uiPriority w:val="29"/>
    <w:rsid w:val="007655A3"/>
    <w:rPr>
      <w:i/>
      <w:iCs/>
      <w:noProof/>
      <w:color w:val="404040" w:themeColor="text1" w:themeTint="BF"/>
    </w:rPr>
  </w:style>
  <w:style w:type="paragraph" w:styleId="a9">
    <w:name w:val="List Paragraph"/>
    <w:basedOn w:val="a"/>
    <w:uiPriority w:val="34"/>
    <w:qFormat/>
    <w:rsid w:val="007655A3"/>
    <w:pPr>
      <w:ind w:left="720"/>
      <w:contextualSpacing/>
    </w:pPr>
  </w:style>
  <w:style w:type="character" w:styleId="aa">
    <w:name w:val="Intense Emphasis"/>
    <w:basedOn w:val="a0"/>
    <w:uiPriority w:val="21"/>
    <w:qFormat/>
    <w:rsid w:val="007655A3"/>
    <w:rPr>
      <w:i/>
      <w:iCs/>
      <w:color w:val="2F5496" w:themeColor="accent1" w:themeShade="BF"/>
    </w:rPr>
  </w:style>
  <w:style w:type="paragraph" w:styleId="ab">
    <w:name w:val="Intense Quote"/>
    <w:basedOn w:val="a"/>
    <w:next w:val="a"/>
    <w:link w:val="ac"/>
    <w:uiPriority w:val="30"/>
    <w:qFormat/>
    <w:rsid w:val="00765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5A3"/>
    <w:rPr>
      <w:i/>
      <w:iCs/>
      <w:noProof/>
      <w:color w:val="2F5496" w:themeColor="accent1" w:themeShade="BF"/>
    </w:rPr>
  </w:style>
  <w:style w:type="character" w:styleId="ad">
    <w:name w:val="Intense Reference"/>
    <w:basedOn w:val="a0"/>
    <w:uiPriority w:val="32"/>
    <w:qFormat/>
    <w:rsid w:val="007655A3"/>
    <w:rPr>
      <w:b/>
      <w:bCs/>
      <w:smallCaps/>
      <w:color w:val="2F5496" w:themeColor="accent1" w:themeShade="BF"/>
      <w:spacing w:val="5"/>
    </w:rPr>
  </w:style>
  <w:style w:type="paragraph" w:styleId="ae">
    <w:name w:val="Revision"/>
    <w:hidden/>
    <w:uiPriority w:val="99"/>
    <w:semiHidden/>
    <w:rsid w:val="007655A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4177</Words>
  <Characters>23812</Characters>
  <Application>Microsoft Office Word</Application>
  <DocSecurity>0</DocSecurity>
  <Lines>198</Lines>
  <Paragraphs>55</Paragraphs>
  <ScaleCrop>false</ScaleCrop>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QINYAO</dc:creator>
  <cp:keywords/>
  <dc:description/>
  <cp:lastModifiedBy>QINYAO</cp:lastModifiedBy>
  <cp:revision>2</cp:revision>
  <dcterms:created xsi:type="dcterms:W3CDTF">2026-04-06T13:15:00Z</dcterms:created>
  <dcterms:modified xsi:type="dcterms:W3CDTF">2026-04-07T06:44:00Z</dcterms:modified>
</cp:coreProperties>
</file>