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912F5" w14:textId="77777777" w:rsidR="003E3C20" w:rsidRDefault="003E3C20">
      <w:pPr>
        <w:spacing w:after="120" w:line="340" w:lineRule="exact"/>
        <w:jc w:val="center"/>
        <w:rPr>
          <w:rFonts w:ascii="Arial Bold" w:eastAsia="宋体" w:hAnsi="Arial Bold" w:cs="Arial Bold"/>
          <w:b/>
          <w:bCs/>
          <w:iCs/>
          <w:sz w:val="28"/>
          <w:szCs w:val="28"/>
        </w:rPr>
      </w:pPr>
    </w:p>
    <w:p w14:paraId="165812AE" w14:textId="6AD97ABB" w:rsidR="00C7726F" w:rsidRDefault="0095699F" w:rsidP="000A2A61">
      <w:pPr>
        <w:spacing w:after="120"/>
        <w:jc w:val="center"/>
        <w:rPr>
          <w:rFonts w:ascii="Arial Bold" w:eastAsia="宋体" w:hAnsi="Arial Bold" w:cs="Arial Bold"/>
          <w:b/>
          <w:bCs/>
          <w:iCs/>
          <w:sz w:val="40"/>
          <w:szCs w:val="40"/>
        </w:rPr>
      </w:pPr>
      <w:r w:rsidRPr="0095699F">
        <w:rPr>
          <w:rFonts w:ascii="Arial Bold" w:eastAsia="宋体" w:hAnsi="Arial Bold" w:cs="Arial Bold"/>
          <w:b/>
          <w:bCs/>
          <w:iCs/>
          <w:sz w:val="40"/>
          <w:szCs w:val="40"/>
        </w:rPr>
        <w:t>Height as a Social Signal: How Body Shape Influences Subjective Well-being Through Social Interaction</w:t>
      </w:r>
    </w:p>
    <w:p w14:paraId="75248649" w14:textId="77777777" w:rsidR="000A2A61" w:rsidRPr="00863568" w:rsidRDefault="000A2A61" w:rsidP="00863568">
      <w:pPr>
        <w:spacing w:after="120" w:line="340" w:lineRule="exact"/>
        <w:jc w:val="center"/>
        <w:rPr>
          <w:rFonts w:ascii="Arial Bold" w:eastAsia="宋体" w:hAnsi="Arial Bold" w:cs="Arial Bold" w:hint="eastAsia"/>
          <w:b/>
          <w:bCs/>
          <w:iCs/>
          <w:sz w:val="28"/>
          <w:szCs w:val="28"/>
        </w:rPr>
      </w:pPr>
    </w:p>
    <w:p w14:paraId="03298677" w14:textId="77777777" w:rsidR="00863568" w:rsidRPr="00AC2520" w:rsidRDefault="00863568" w:rsidP="00863568">
      <w:pPr>
        <w:jc w:val="center"/>
        <w:rPr>
          <w:rFonts w:ascii="Times New Roman Bold" w:hAnsi="Times New Roman Bold" w:cs="Times New Roman Bold"/>
          <w:b/>
          <w:sz w:val="24"/>
        </w:rPr>
      </w:pPr>
      <w:r>
        <w:rPr>
          <w:rFonts w:ascii="Times New Roman Bold" w:hAnsi="Times New Roman Bold" w:cs="Times New Roman Bold"/>
          <w:b/>
          <w:sz w:val="24"/>
        </w:rPr>
        <w:t>Zhijun Zhan</w:t>
      </w:r>
      <w:r w:rsidRPr="00AC2520">
        <w:rPr>
          <w:rFonts w:ascii="Times New Roman Bold" w:hAnsi="Times New Roman Bold" w:cs="Times New Roman Bold"/>
          <w:b/>
          <w:bCs/>
          <w:sz w:val="24"/>
          <w:vertAlign w:val="superscript"/>
        </w:rPr>
        <w:t>1</w:t>
      </w:r>
      <w:r>
        <w:rPr>
          <w:rFonts w:ascii="Times New Roman Bold" w:hAnsi="Times New Roman Bold" w:cs="Times New Roman Bold"/>
          <w:b/>
          <w:bCs/>
          <w:sz w:val="24"/>
          <w:vertAlign w:val="superscript"/>
        </w:rPr>
        <w:t>*</w:t>
      </w:r>
    </w:p>
    <w:p w14:paraId="6B183B20" w14:textId="77777777" w:rsidR="00863568" w:rsidRPr="009714B0" w:rsidRDefault="00863568" w:rsidP="00863568">
      <w:pPr>
        <w:jc w:val="left"/>
        <w:rPr>
          <w:sz w:val="24"/>
        </w:rPr>
      </w:pPr>
    </w:p>
    <w:p w14:paraId="1BA127CD" w14:textId="77777777" w:rsidR="00863568" w:rsidRPr="006816C9" w:rsidRDefault="00863568" w:rsidP="00863568">
      <w:pPr>
        <w:jc w:val="center"/>
        <w:rPr>
          <w:rFonts w:ascii="Times New Roman Italic" w:hAnsi="Times New Roman Italic" w:cs="Times New Roman Italic"/>
          <w:sz w:val="24"/>
        </w:rPr>
      </w:pPr>
      <w:r w:rsidRPr="006816C9">
        <w:rPr>
          <w:rFonts w:ascii="Times New Roman Italic" w:hAnsi="Times New Roman Italic" w:cs="Times New Roman Italic"/>
          <w:sz w:val="24"/>
        </w:rPr>
        <w:t>¹</w:t>
      </w:r>
      <w:r w:rsidRPr="003E7957">
        <w:rPr>
          <w:rFonts w:eastAsiaTheme="minorEastAsia" w:cs="Times New Roman"/>
          <w:color w:val="000000" w:themeColor="text1"/>
          <w:sz w:val="24"/>
        </w:rPr>
        <w:t xml:space="preserve"> </w:t>
      </w:r>
      <w:r w:rsidRPr="003E7957">
        <w:rPr>
          <w:rFonts w:ascii="Times New Roman Italic" w:hAnsi="Times New Roman Italic" w:cs="Times New Roman Italic"/>
          <w:sz w:val="24"/>
        </w:rPr>
        <w:t>Faculty of Psychology, Southwest University, Chongqing 400715, China</w:t>
      </w:r>
    </w:p>
    <w:p w14:paraId="1080A08B" w14:textId="77777777" w:rsidR="00863568" w:rsidRPr="009714B0" w:rsidRDefault="00863568" w:rsidP="00863568">
      <w:pPr>
        <w:jc w:val="center"/>
        <w:rPr>
          <w:rFonts w:eastAsia="宋体" w:cs="Times New Roman"/>
          <w:sz w:val="24"/>
        </w:rPr>
      </w:pPr>
      <w:r w:rsidRPr="006816C9">
        <w:rPr>
          <w:rFonts w:ascii="Times New Roman Italic" w:hAnsi="Times New Roman Italic" w:cs="Times New Roman Italic"/>
          <w:sz w:val="24"/>
        </w:rPr>
        <w:t xml:space="preserve">Corresponding Author*: </w:t>
      </w:r>
      <w:r>
        <w:rPr>
          <w:rFonts w:ascii="Times New Roman Italic" w:hAnsi="Times New Roman Italic" w:cs="Times New Roman Italic"/>
          <w:sz w:val="24"/>
        </w:rPr>
        <w:t>Zhijun Zhan</w:t>
      </w:r>
      <w:r w:rsidRPr="006816C9">
        <w:rPr>
          <w:rFonts w:ascii="Times New Roman Italic" w:hAnsi="Times New Roman Italic" w:cs="Times New Roman Italic" w:hint="eastAsia"/>
          <w:sz w:val="24"/>
        </w:rPr>
        <w:t xml:space="preserve">  E-mail: </w:t>
      </w:r>
      <w:hyperlink r:id="rId8" w:history="1">
        <w:r w:rsidRPr="00443E09">
          <w:rPr>
            <w:rStyle w:val="a9"/>
            <w:rFonts w:ascii="Times New Roman Italic" w:hAnsi="Times New Roman Italic" w:cs="Times New Roman Italic"/>
            <w:sz w:val="24"/>
          </w:rPr>
          <w:t>zhijun0213@email.swu.edu.cn</w:t>
        </w:r>
      </w:hyperlink>
    </w:p>
    <w:p w14:paraId="6A1D56AD" w14:textId="23A63B30" w:rsidR="003E3C20" w:rsidRPr="009714B0" w:rsidRDefault="003E3C20" w:rsidP="009714B0">
      <w:pPr>
        <w:jc w:val="center"/>
        <w:rPr>
          <w:rFonts w:eastAsia="宋体" w:cs="Times New Roman" w:hint="eastAsia"/>
          <w:sz w:val="24"/>
        </w:rPr>
      </w:pPr>
    </w:p>
    <w:tbl>
      <w:tblPr>
        <w:tblStyle w:val="a6"/>
        <w:tblW w:w="4997"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6733"/>
      </w:tblGrid>
      <w:tr w:rsidR="003E3C20" w14:paraId="4A7CE875" w14:textId="77777777" w:rsidTr="00863568">
        <w:trPr>
          <w:trHeight w:val="385"/>
        </w:trPr>
        <w:tc>
          <w:tcPr>
            <w:tcW w:w="1429" w:type="pct"/>
            <w:tcBorders>
              <w:top w:val="single" w:sz="4" w:space="0" w:color="auto"/>
              <w:bottom w:val="nil"/>
            </w:tcBorders>
            <w:vAlign w:val="center"/>
          </w:tcPr>
          <w:p w14:paraId="02930FEE" w14:textId="77777777" w:rsidR="003E3C20" w:rsidRDefault="00D12FB6">
            <w:pPr>
              <w:pStyle w:val="a4"/>
              <w:pBdr>
                <w:top w:val="none" w:sz="0" w:space="0" w:color="auto"/>
                <w:left w:val="none" w:sz="0" w:space="0" w:color="auto"/>
                <w:bottom w:val="none" w:sz="0" w:space="0" w:color="auto"/>
                <w:right w:val="none" w:sz="0" w:space="0" w:color="auto"/>
              </w:pBdr>
              <w:jc w:val="left"/>
              <w:rPr>
                <w:rFonts w:eastAsia="微软雅黑" w:cs="Times New Roman"/>
                <w:b/>
                <w:bCs/>
                <w:sz w:val="20"/>
                <w:szCs w:val="20"/>
              </w:rPr>
            </w:pPr>
            <w:r>
              <w:rPr>
                <w:rFonts w:eastAsia="微软雅黑" w:cs="Times New Roman"/>
                <w:b/>
                <w:bCs/>
                <w:sz w:val="20"/>
                <w:szCs w:val="20"/>
              </w:rPr>
              <w:t>ARTICLE INFO</w:t>
            </w:r>
          </w:p>
        </w:tc>
        <w:tc>
          <w:tcPr>
            <w:tcW w:w="3571" w:type="pct"/>
            <w:vMerge w:val="restart"/>
          </w:tcPr>
          <w:p w14:paraId="5ED6D235" w14:textId="77777777" w:rsidR="003E3C20" w:rsidRDefault="00D12FB6">
            <w:pPr>
              <w:pStyle w:val="a4"/>
              <w:rPr>
                <w:rFonts w:ascii="Times New Roman Bold" w:hAnsi="Times New Roman Bold" w:cs="Times New Roman Bold"/>
                <w:b/>
                <w:bCs/>
                <w:sz w:val="20"/>
                <w:szCs w:val="20"/>
              </w:rPr>
            </w:pPr>
            <w:r>
              <w:rPr>
                <w:rFonts w:ascii="Times New Roman Bold" w:hAnsi="Times New Roman Bold" w:cs="Times New Roman Bold"/>
                <w:b/>
                <w:bCs/>
                <w:sz w:val="20"/>
                <w:szCs w:val="20"/>
              </w:rPr>
              <w:t>ABSTRACT</w:t>
            </w:r>
          </w:p>
          <w:p w14:paraId="724B36A9" w14:textId="328665B0" w:rsidR="003E3C20" w:rsidRDefault="0095699F" w:rsidP="006816C9">
            <w:pPr>
              <w:pStyle w:val="a4"/>
              <w:pBdr>
                <w:top w:val="none" w:sz="0" w:space="0" w:color="auto"/>
                <w:left w:val="none" w:sz="0" w:space="0" w:color="auto"/>
                <w:bottom w:val="none" w:sz="0" w:space="0" w:color="auto"/>
                <w:right w:val="none" w:sz="0" w:space="0" w:color="auto"/>
              </w:pBdr>
              <w:rPr>
                <w:rFonts w:cs="Times New Roman"/>
                <w:bCs/>
                <w:iCs/>
                <w:sz w:val="20"/>
                <w:szCs w:val="20"/>
              </w:rPr>
            </w:pPr>
            <w:r w:rsidRPr="0095699F">
              <w:rPr>
                <w:rFonts w:cs="Times New Roman"/>
                <w:bCs/>
                <w:iCs/>
                <w:sz w:val="20"/>
                <w:szCs w:val="20"/>
              </w:rPr>
              <w:t>This study examines how height, as a prominent physical trait, transcends traditional biological and economic frameworks to reshape individuals' subjective well-being through micro-level social interaction mechanisms. Drawing upon representative data from the China Family Panel Studies (CFPS) (N = 25,162), we constructed a comprehensive analytical framework encompassing economic capital, cognitive abilities, quality of social interaction, and emotional experiences. Empirical findings from OLS regression and Structural Equation Modeling (SEM) reveal a robust net positive effect of height on subjective well-being, even after controlling for income and cognitive ability. Path analysis indicates that the quality of social interaction (manifested as higher interpersonal trust and social evaluation) and emotional experience (expressed as reduced negative emotions) serve as key mediating pathways through which height translates into well-being. Furthermore, heterogeneity analysis uncovers distinct gender norms: the happiness effect of height exhibits a linear growth pattern for men, aligning with traditional logic of masculine privilege; whereas for women, it follows an inverted U-shaped trajectory, suggesting that the benefits of height diminish or reverse beyond a certain threshold due to specific gender role expectations. This study confirms that in modern society, body shape functions as a form of visual capital, influencing the distribution of emotional energy in interaction rituals and ultimately determining psychological welfare.</w:t>
            </w:r>
          </w:p>
        </w:tc>
      </w:tr>
      <w:tr w:rsidR="003E3C20" w14:paraId="1933C0FC" w14:textId="77777777" w:rsidTr="00863568">
        <w:trPr>
          <w:trHeight w:val="336"/>
        </w:trPr>
        <w:tc>
          <w:tcPr>
            <w:tcW w:w="1429" w:type="pct"/>
            <w:tcBorders>
              <w:top w:val="single" w:sz="4" w:space="0" w:color="auto"/>
              <w:bottom w:val="nil"/>
            </w:tcBorders>
            <w:vAlign w:val="center"/>
          </w:tcPr>
          <w:p w14:paraId="34EE9C1C" w14:textId="77777777" w:rsidR="003E3C20" w:rsidRDefault="00D12FB6">
            <w:pPr>
              <w:pStyle w:val="a4"/>
              <w:jc w:val="left"/>
              <w:rPr>
                <w:rFonts w:eastAsia="Times New Roman" w:cs="Times New Roman"/>
                <w:kern w:val="0"/>
                <w:sz w:val="20"/>
                <w:szCs w:val="20"/>
                <w:lang w:bidi="ar"/>
              </w:rPr>
            </w:pPr>
            <w:r>
              <w:rPr>
                <w:rFonts w:eastAsia="Times New Roman" w:cs="Times New Roman" w:hint="eastAsia"/>
                <w:i/>
                <w:iCs/>
                <w:kern w:val="0"/>
                <w:sz w:val="20"/>
                <w:szCs w:val="20"/>
                <w:lang w:bidi="ar"/>
              </w:rPr>
              <w:t>Keywords</w:t>
            </w:r>
          </w:p>
          <w:p w14:paraId="6672F73C" w14:textId="69EC4490" w:rsidR="003E3C20" w:rsidRDefault="0095699F" w:rsidP="006816C9">
            <w:pPr>
              <w:pStyle w:val="a4"/>
              <w:pBdr>
                <w:top w:val="none" w:sz="0" w:space="0" w:color="auto"/>
                <w:left w:val="none" w:sz="0" w:space="0" w:color="auto"/>
                <w:bottom w:val="none" w:sz="0" w:space="0" w:color="auto"/>
                <w:right w:val="none" w:sz="0" w:space="0" w:color="auto"/>
              </w:pBdr>
              <w:rPr>
                <w:rFonts w:ascii="Times New Roman Bold" w:hAnsi="Times New Roman Bold" w:cs="Times New Roman Bold"/>
                <w:sz w:val="20"/>
              </w:rPr>
            </w:pPr>
            <w:r w:rsidRPr="0095699F">
              <w:rPr>
                <w:rFonts w:ascii="Times New Roman Bold" w:hAnsi="Times New Roman Bold" w:cs="Times New Roman Bold"/>
                <w:sz w:val="20"/>
              </w:rPr>
              <w:t>Height</w:t>
            </w:r>
          </w:p>
          <w:p w14:paraId="3B608805" w14:textId="78A2D9C6" w:rsidR="0095699F" w:rsidRDefault="0095699F" w:rsidP="006816C9">
            <w:pPr>
              <w:pStyle w:val="a4"/>
              <w:pBdr>
                <w:top w:val="none" w:sz="0" w:space="0" w:color="auto"/>
                <w:left w:val="none" w:sz="0" w:space="0" w:color="auto"/>
                <w:bottom w:val="none" w:sz="0" w:space="0" w:color="auto"/>
                <w:right w:val="none" w:sz="0" w:space="0" w:color="auto"/>
              </w:pBdr>
              <w:rPr>
                <w:rFonts w:ascii="Times New Roman Bold" w:eastAsiaTheme="minorEastAsia" w:hAnsi="Times New Roman Bold" w:cs="Times New Roman Bold"/>
                <w:sz w:val="20"/>
              </w:rPr>
            </w:pPr>
            <w:r w:rsidRPr="0095699F">
              <w:rPr>
                <w:rFonts w:ascii="Times New Roman Bold" w:hAnsi="Times New Roman Bold" w:cs="Times New Roman Bold"/>
                <w:sz w:val="20"/>
              </w:rPr>
              <w:t>Subjective Well-being</w:t>
            </w:r>
          </w:p>
          <w:p w14:paraId="4DBD6A30" w14:textId="75021119" w:rsidR="0095699F" w:rsidRDefault="0095699F" w:rsidP="006816C9">
            <w:pPr>
              <w:pStyle w:val="a4"/>
              <w:pBdr>
                <w:top w:val="none" w:sz="0" w:space="0" w:color="auto"/>
                <w:left w:val="none" w:sz="0" w:space="0" w:color="auto"/>
                <w:bottom w:val="none" w:sz="0" w:space="0" w:color="auto"/>
                <w:right w:val="none" w:sz="0" w:space="0" w:color="auto"/>
              </w:pBdr>
              <w:rPr>
                <w:rFonts w:ascii="Times New Roman Bold" w:eastAsiaTheme="minorEastAsia" w:hAnsi="Times New Roman Bold" w:cs="Times New Roman Bold"/>
                <w:sz w:val="20"/>
              </w:rPr>
            </w:pPr>
            <w:r w:rsidRPr="0095699F">
              <w:rPr>
                <w:rFonts w:ascii="Times New Roman Bold" w:eastAsiaTheme="minorEastAsia" w:hAnsi="Times New Roman Bold" w:cs="Times New Roman Bold"/>
                <w:sz w:val="20"/>
              </w:rPr>
              <w:t>Social Interaction</w:t>
            </w:r>
          </w:p>
          <w:p w14:paraId="6B56E563" w14:textId="796C73ED" w:rsidR="0095699F" w:rsidRPr="0095699F" w:rsidRDefault="0095699F" w:rsidP="006816C9">
            <w:pPr>
              <w:pStyle w:val="a4"/>
              <w:pBdr>
                <w:top w:val="none" w:sz="0" w:space="0" w:color="auto"/>
                <w:left w:val="none" w:sz="0" w:space="0" w:color="auto"/>
                <w:bottom w:val="none" w:sz="0" w:space="0" w:color="auto"/>
                <w:right w:val="none" w:sz="0" w:space="0" w:color="auto"/>
              </w:pBdr>
              <w:rPr>
                <w:rFonts w:ascii="Times New Roman Bold" w:eastAsiaTheme="minorEastAsia" w:hAnsi="Times New Roman Bold" w:cs="Times New Roman Bold"/>
                <w:sz w:val="20"/>
              </w:rPr>
            </w:pPr>
            <w:r w:rsidRPr="0095699F">
              <w:rPr>
                <w:rFonts w:ascii="Times New Roman Bold" w:eastAsiaTheme="minorEastAsia" w:hAnsi="Times New Roman Bold" w:cs="Times New Roman Bold"/>
                <w:sz w:val="20"/>
              </w:rPr>
              <w:t>Visual Capital</w:t>
            </w:r>
          </w:p>
          <w:p w14:paraId="6383982E" w14:textId="77777777" w:rsidR="003E3C20" w:rsidRDefault="003E3C20"/>
          <w:p w14:paraId="2FB19C36" w14:textId="4BC280E8" w:rsidR="006816C9" w:rsidRDefault="00D12FB6">
            <w:pPr>
              <w:pStyle w:val="a4"/>
              <w:jc w:val="left"/>
              <w:rPr>
                <w:rFonts w:eastAsia="Times New Roman" w:cs="Times New Roman"/>
                <w:i/>
                <w:iCs/>
                <w:kern w:val="0"/>
                <w:sz w:val="20"/>
                <w:szCs w:val="20"/>
                <w:lang w:bidi="ar"/>
              </w:rPr>
            </w:pPr>
            <w:r>
              <w:rPr>
                <w:rFonts w:eastAsia="Times New Roman" w:cs="Times New Roman" w:hint="eastAsia"/>
                <w:i/>
                <w:iCs/>
                <w:kern w:val="0"/>
                <w:sz w:val="20"/>
                <w:szCs w:val="20"/>
                <w:lang w:bidi="ar"/>
              </w:rPr>
              <w:t>Published:</w:t>
            </w:r>
          </w:p>
          <w:p w14:paraId="06B69FCB" w14:textId="77747A78" w:rsidR="003E3C20" w:rsidRPr="00863568" w:rsidRDefault="00863568" w:rsidP="0095699F">
            <w:pPr>
              <w:rPr>
                <w:rFonts w:ascii="Times New Roman Bold" w:hAnsi="Times New Roman Bold" w:cs="Times New Roman Bold"/>
                <w:sz w:val="22"/>
                <w:szCs w:val="22"/>
              </w:rPr>
            </w:pPr>
            <w:r w:rsidRPr="00863568">
              <w:rPr>
                <w:rFonts w:ascii="Times New Roman Bold" w:hAnsi="Times New Roman Bold" w:cs="Times New Roman Bold" w:hint="eastAsia"/>
                <w:sz w:val="22"/>
                <w:szCs w:val="22"/>
              </w:rPr>
              <w:t xml:space="preserve">3 March </w:t>
            </w:r>
            <w:r w:rsidRPr="00863568">
              <w:rPr>
                <w:rFonts w:ascii="Times New Roman Bold" w:hAnsi="Times New Roman Bold" w:cs="Times New Roman Bold"/>
                <w:sz w:val="22"/>
                <w:szCs w:val="22"/>
              </w:rPr>
              <w:t>2026</w:t>
            </w:r>
          </w:p>
        </w:tc>
        <w:tc>
          <w:tcPr>
            <w:tcW w:w="3571" w:type="pct"/>
            <w:vMerge/>
            <w:vAlign w:val="center"/>
          </w:tcPr>
          <w:p w14:paraId="271CDC14" w14:textId="77777777" w:rsidR="003E3C20" w:rsidRDefault="003E3C20">
            <w:pPr>
              <w:keepNext/>
              <w:rPr>
                <w:rFonts w:eastAsia="Times New Roman" w:cs="Times New Roman"/>
                <w:b/>
                <w:sz w:val="24"/>
              </w:rPr>
            </w:pPr>
          </w:p>
        </w:tc>
      </w:tr>
      <w:tr w:rsidR="003E3C20" w14:paraId="4A08F220" w14:textId="77777777" w:rsidTr="00863568">
        <w:tc>
          <w:tcPr>
            <w:tcW w:w="1429" w:type="pct"/>
            <w:tcBorders>
              <w:top w:val="nil"/>
              <w:bottom w:val="single" w:sz="4" w:space="0" w:color="auto"/>
            </w:tcBorders>
            <w:vAlign w:val="center"/>
          </w:tcPr>
          <w:p w14:paraId="717F5597" w14:textId="77777777" w:rsidR="003E3C20" w:rsidRDefault="003E3C20">
            <w:pPr>
              <w:pStyle w:val="a4"/>
              <w:jc w:val="left"/>
              <w:rPr>
                <w:rFonts w:ascii="Times New Roman Bold" w:hAnsi="Times New Roman Bold" w:cs="Times New Roman Bold"/>
                <w:b/>
                <w:bCs/>
                <w:sz w:val="22"/>
                <w:szCs w:val="22"/>
              </w:rPr>
            </w:pPr>
          </w:p>
        </w:tc>
        <w:tc>
          <w:tcPr>
            <w:tcW w:w="3571" w:type="pct"/>
            <w:vMerge/>
            <w:vAlign w:val="center"/>
          </w:tcPr>
          <w:p w14:paraId="3D037E16" w14:textId="77777777" w:rsidR="003E3C20" w:rsidRDefault="003E3C20">
            <w:pPr>
              <w:keepNext/>
              <w:rPr>
                <w:rFonts w:eastAsia="Times New Roman" w:cs="Times New Roman"/>
                <w:b/>
                <w:sz w:val="24"/>
              </w:rPr>
            </w:pPr>
          </w:p>
        </w:tc>
      </w:tr>
    </w:tbl>
    <w:p w14:paraId="543D9130" w14:textId="77777777" w:rsidR="003E3C20" w:rsidRDefault="003E3C20">
      <w:pPr>
        <w:pStyle w:val="ad"/>
        <w:ind w:left="0"/>
        <w:rPr>
          <w:rFonts w:eastAsia="Times New Roman" w:cs="Times New Roman"/>
          <w:b/>
          <w:sz w:val="28"/>
          <w:szCs w:val="28"/>
        </w:rPr>
      </w:pPr>
    </w:p>
    <w:p w14:paraId="76248E6B" w14:textId="75B3195B" w:rsidR="00877F6F" w:rsidRDefault="00877F6F" w:rsidP="00877F6F">
      <w:pPr>
        <w:pStyle w:val="ad"/>
        <w:numPr>
          <w:ilvl w:val="0"/>
          <w:numId w:val="1"/>
        </w:numPr>
        <w:rPr>
          <w:rFonts w:eastAsia="Times New Roman" w:cs="Times New Roman"/>
          <w:b/>
          <w:sz w:val="28"/>
          <w:szCs w:val="28"/>
        </w:rPr>
      </w:pPr>
      <w:r>
        <w:rPr>
          <w:rFonts w:ascii="Times New Roman Bold" w:eastAsia="Times New Roman" w:hAnsi="Times New Roman Bold" w:cs="Times New Roman Bold"/>
          <w:b/>
          <w:sz w:val="28"/>
          <w:szCs w:val="28"/>
        </w:rPr>
        <w:t>Introduction</w:t>
      </w:r>
    </w:p>
    <w:p w14:paraId="748B5055" w14:textId="77777777" w:rsidR="003E7957" w:rsidRPr="00F75F05" w:rsidRDefault="003E7957" w:rsidP="00202733">
      <w:pPr>
        <w:ind w:firstLineChars="200" w:firstLine="480"/>
        <w:rPr>
          <w:sz w:val="24"/>
        </w:rPr>
      </w:pPr>
      <w:r w:rsidRPr="00F75F05">
        <w:rPr>
          <w:sz w:val="24"/>
        </w:rPr>
        <w:t xml:space="preserve">Well-being, defined as an individual's holistic perception and emotional appraisal of life quality, has long been a central inquiry in psychology, sociology, and economics (Diener, 1984; Easterlin, 1974). Traditionally, social science research has bifurcated the determinants of well-being into two categories: external structural factors—such as social class, income, marital status, and social support networks—and internal psychological traits, including personality, cognitive style, and coping mechanisms. However, these classical paradigms largely treat research subjects as disembodied entities, overlooking the fundamental reality that human existence is primarily </w:t>
      </w:r>
      <w:r w:rsidRPr="00F75F05">
        <w:rPr>
          <w:sz w:val="24"/>
        </w:rPr>
        <w:lastRenderedPageBreak/>
        <w:t>embodied. The physical body, as the interface between the individual and the world, functions not merely as a physiological vessel but as a foundational element of daily social life and psychological experience (Shilling, 2012). Among physical characteristics, height is the most observable, immutable, and salient biological indicator, carrying profound socio-psychological implications.</w:t>
      </w:r>
    </w:p>
    <w:p w14:paraId="4D5D193E" w14:textId="77777777" w:rsidR="003E7957" w:rsidRPr="00F75F05" w:rsidRDefault="003E7957" w:rsidP="00202733">
      <w:pPr>
        <w:ind w:firstLineChars="200" w:firstLine="480"/>
        <w:rPr>
          <w:sz w:val="24"/>
        </w:rPr>
      </w:pPr>
      <w:r w:rsidRPr="00F75F05">
        <w:rPr>
          <w:sz w:val="24"/>
        </w:rPr>
        <w:t>While the literature on height is extensive, it remains fragmented across disciplinary lines. Psychological research predominantly frames height’s impact on mental health through the lens of self-evaluation, focusing on self-esteem and body image. Conversely, economic research emphasizes the instrumental value of height, with robust empirical evidence supporting the "height wage premium," which posits that taller individuals command higher labor market returns, thereby explaining their elevated well-being (Case &amp; Paxson, 2008). However, viewing height solely as a psychological trait or economic capital leaves a significant theoretical gap. Empirical anomalies suggest that even after controlling for self-esteem, income, and health, taller individuals frequently report higher life satisfaction. This indicates that beyond self-perception and economic utility, height influences well-being through a more latent social mechanism.</w:t>
      </w:r>
    </w:p>
    <w:p w14:paraId="7586ED21" w14:textId="1AC73166" w:rsidR="00877F6F" w:rsidRDefault="003E7957" w:rsidP="00202733">
      <w:pPr>
        <w:ind w:firstLineChars="200" w:firstLine="480"/>
        <w:rPr>
          <w:rFonts w:eastAsia="Times New Roman" w:cs="Times New Roman"/>
          <w:sz w:val="24"/>
        </w:rPr>
      </w:pPr>
      <w:r w:rsidRPr="00F75F05">
        <w:rPr>
          <w:sz w:val="24"/>
        </w:rPr>
        <w:t>This study posits that in a modern society dominated by visual information, bodily form has evolved from a physiological attribute into a potent social signal. Before verbal communication commences, height conveys implicit information regarding an individual's competitive potential, self-discipline, and social status. These visual cues profoundly intervene in and reshape the micro-interaction order between individuals. Adopting an interactive social science perspective, this study conceptualizes height as a form of "visual capital" (Hakim, 2010) that serves as an entry ticket to social interaction rituals (Collins, 2004). Individuals with desirable height characteristics are more likely to elicit positive feedback during interpersonal exchanges. This advantage in micro-level interactions translates into sustained positive emotional experiences, thereby enhancing subjective well-being. To test this hypothesis, this paper utilizes nationally representative data from the China Family Panel Studies (CFPS). By constructing a structural equation model (SEM), we empirically isolate the social interaction mechanisms through which physical stature determines psychological well-being, aiming to reveal how the "body" shapes the "mind" through the medium of social interaction.</w:t>
      </w:r>
    </w:p>
    <w:p w14:paraId="5444014D" w14:textId="77777777" w:rsidR="00877F6F" w:rsidRDefault="00877F6F" w:rsidP="00877F6F">
      <w:pPr>
        <w:rPr>
          <w:rFonts w:eastAsia="Times New Roman" w:cs="Times New Roman"/>
          <w:sz w:val="24"/>
        </w:rPr>
      </w:pPr>
    </w:p>
    <w:p w14:paraId="6CB8C467" w14:textId="41A66F3F" w:rsidR="00202733" w:rsidRPr="00202733" w:rsidRDefault="0095699F" w:rsidP="00202733">
      <w:pPr>
        <w:pStyle w:val="ad"/>
        <w:numPr>
          <w:ilvl w:val="0"/>
          <w:numId w:val="1"/>
        </w:numPr>
        <w:rPr>
          <w:rFonts w:ascii="Times New Roman Bold" w:eastAsia="Times New Roman" w:hAnsi="Times New Roman Bold" w:cs="Times New Roman Bold"/>
          <w:b/>
          <w:sz w:val="28"/>
          <w:szCs w:val="28"/>
        </w:rPr>
      </w:pPr>
      <w:bookmarkStart w:id="0" w:name="_Hlk217172823"/>
      <w:r w:rsidRPr="0095699F">
        <w:rPr>
          <w:rFonts w:ascii="Times New Roman Bold" w:eastAsia="Times New Roman" w:hAnsi="Times New Roman Bold" w:cs="Times New Roman Bold"/>
          <w:b/>
          <w:sz w:val="28"/>
          <w:szCs w:val="28"/>
        </w:rPr>
        <w:t>Theoretical Framework &amp; Literature Review</w:t>
      </w:r>
      <w:bookmarkEnd w:id="0"/>
    </w:p>
    <w:p w14:paraId="7B5F6C32" w14:textId="1D94C777" w:rsidR="00877F6F" w:rsidRDefault="00877F6F" w:rsidP="00877F6F">
      <w:pPr>
        <w:pStyle w:val="ad"/>
        <w:ind w:left="0"/>
        <w:rPr>
          <w:rFonts w:ascii="Times New Roman Bold" w:eastAsia="Times New Roman" w:hAnsi="Times New Roman Bold" w:cs="Times New Roman Bold"/>
          <w:b/>
          <w:bCs/>
          <w:szCs w:val="26"/>
        </w:rPr>
      </w:pPr>
      <w:r>
        <w:rPr>
          <w:rFonts w:ascii="Times New Roman Bold" w:eastAsia="宋体" w:hAnsi="Times New Roman Bold" w:cs="Times New Roman Bold"/>
          <w:b/>
          <w:bCs/>
          <w:szCs w:val="26"/>
        </w:rPr>
        <w:t>2.</w:t>
      </w:r>
      <w:r w:rsidR="00202733">
        <w:rPr>
          <w:rFonts w:ascii="Times New Roman Bold" w:eastAsia="宋体" w:hAnsi="Times New Roman Bold" w:cs="Times New Roman Bold"/>
          <w:b/>
          <w:bCs/>
          <w:szCs w:val="26"/>
        </w:rPr>
        <w:t>1</w:t>
      </w:r>
      <w:r>
        <w:rPr>
          <w:rFonts w:ascii="Times New Roman Bold" w:eastAsia="宋体" w:hAnsi="Times New Roman Bold" w:cs="Times New Roman Bold"/>
          <w:b/>
          <w:bCs/>
          <w:szCs w:val="26"/>
        </w:rPr>
        <w:t xml:space="preserve"> </w:t>
      </w:r>
      <w:r w:rsidR="00202733" w:rsidRPr="00202733">
        <w:rPr>
          <w:rFonts w:ascii="Times New Roman Bold" w:eastAsia="Times New Roman" w:hAnsi="Times New Roman Bold" w:cs="Times New Roman Bold"/>
          <w:b/>
          <w:bCs/>
          <w:szCs w:val="26"/>
        </w:rPr>
        <w:t xml:space="preserve">The Social Construction and </w:t>
      </w:r>
      <w:proofErr w:type="spellStart"/>
      <w:r w:rsidR="00202733" w:rsidRPr="00202733">
        <w:rPr>
          <w:rFonts w:ascii="Times New Roman Bold" w:eastAsia="Times New Roman" w:hAnsi="Times New Roman Bold" w:cs="Times New Roman Bold"/>
          <w:b/>
          <w:bCs/>
          <w:szCs w:val="26"/>
        </w:rPr>
        <w:t>Signalling</w:t>
      </w:r>
      <w:proofErr w:type="spellEnd"/>
      <w:r w:rsidR="00202733" w:rsidRPr="00202733">
        <w:rPr>
          <w:rFonts w:ascii="Times New Roman Bold" w:eastAsia="Times New Roman" w:hAnsi="Times New Roman Bold" w:cs="Times New Roman Bold"/>
          <w:b/>
          <w:bCs/>
          <w:szCs w:val="26"/>
        </w:rPr>
        <w:t xml:space="preserve"> of Height as Visual Capital</w:t>
      </w:r>
    </w:p>
    <w:p w14:paraId="191E8645" w14:textId="544851D4" w:rsidR="00202733" w:rsidRDefault="00202733" w:rsidP="00116566">
      <w:pPr>
        <w:ind w:firstLineChars="200" w:firstLine="480"/>
        <w:rPr>
          <w:rFonts w:eastAsia="Times New Roman" w:cs="Times New Roman"/>
          <w:sz w:val="24"/>
        </w:rPr>
      </w:pPr>
      <w:r w:rsidRPr="00202733">
        <w:rPr>
          <w:rFonts w:eastAsia="Times New Roman" w:cs="Times New Roman"/>
          <w:sz w:val="24"/>
        </w:rPr>
        <w:t xml:space="preserve">In modern social interactions characterized by information asymmetry and a rapid pace, individuals often lack sufficient time to gain deep insights into the intrinsic qualities of their interaction partners. Consequently, reliance on highly visible external characteristics for swift cognitive judgements becomes a necessity. According to </w:t>
      </w:r>
      <w:proofErr w:type="spellStart"/>
      <w:r w:rsidRPr="00202733">
        <w:rPr>
          <w:rFonts w:eastAsia="Times New Roman" w:cs="Times New Roman"/>
          <w:sz w:val="24"/>
        </w:rPr>
        <w:t>signalling</w:t>
      </w:r>
      <w:proofErr w:type="spellEnd"/>
      <w:r w:rsidRPr="00202733">
        <w:rPr>
          <w:rFonts w:eastAsia="Times New Roman" w:cs="Times New Roman"/>
          <w:sz w:val="24"/>
        </w:rPr>
        <w:t xml:space="preserve"> theory (Spence, 1973), height functions as a costly signal that is difficult to falsify. Because it carries high biological acquisition costs, height rapidly conveys positive information about an individual's genetic quality and potential capabilities. Although this preference may have originated from biological selection for survival competitiveness in ancient humans, it has been recoded in modern society as a pervasive social stereotype or halo effect.</w:t>
      </w:r>
    </w:p>
    <w:p w14:paraId="4311C881" w14:textId="77777777" w:rsidR="00202733" w:rsidRPr="00202733" w:rsidRDefault="00202733" w:rsidP="00116566">
      <w:pPr>
        <w:ind w:firstLineChars="200" w:firstLine="480"/>
        <w:rPr>
          <w:rFonts w:eastAsia="Times New Roman" w:cs="Times New Roman"/>
          <w:sz w:val="24"/>
        </w:rPr>
      </w:pPr>
      <w:r w:rsidRPr="00202733">
        <w:rPr>
          <w:rFonts w:eastAsia="Times New Roman" w:cs="Times New Roman"/>
          <w:sz w:val="24"/>
        </w:rPr>
        <w:t xml:space="preserve">Sociologist Catherine Hakim systematically defines this physical attractiveness as visual capital (Hakim, 2010). She observes that in the era of service-based economies and visual-centric social media, visual capital has emerged as a fourth core personal asset distinct from economic, cultural, and social capital. As a crucial component of visual capital, height confers significant </w:t>
      </w:r>
      <w:r w:rsidRPr="00202733">
        <w:rPr>
          <w:rFonts w:eastAsia="Times New Roman" w:cs="Times New Roman"/>
          <w:i/>
          <w:iCs/>
          <w:sz w:val="24"/>
        </w:rPr>
        <w:t>a priori</w:t>
      </w:r>
      <w:r w:rsidRPr="00202733">
        <w:rPr>
          <w:rFonts w:eastAsia="Times New Roman" w:cs="Times New Roman"/>
          <w:sz w:val="24"/>
        </w:rPr>
        <w:t xml:space="preserve"> advantages in social competition. Taller individuals are frequently assigned positive attributes such as greater leadership potential, intelligence, and trustworthiness. This social </w:t>
      </w:r>
      <w:r w:rsidRPr="00202733">
        <w:rPr>
          <w:rFonts w:eastAsia="Times New Roman" w:cs="Times New Roman"/>
          <w:sz w:val="24"/>
        </w:rPr>
        <w:lastRenderedPageBreak/>
        <w:t>evaluation grants them elevated anticipated status before interactions even commence. By reducing the transaction costs associated with establishing trust and mobilizing social resources, height operates not merely as a biological measure of length but as a symbolic resource in sociological terms.</w:t>
      </w:r>
    </w:p>
    <w:p w14:paraId="061C1ABE" w14:textId="77777777" w:rsidR="00202733" w:rsidRPr="00202733" w:rsidRDefault="00202733" w:rsidP="00877F6F">
      <w:pPr>
        <w:rPr>
          <w:rFonts w:eastAsia="Times New Roman" w:cs="Times New Roman"/>
          <w:b/>
          <w:sz w:val="24"/>
        </w:rPr>
      </w:pPr>
    </w:p>
    <w:p w14:paraId="753F688A" w14:textId="77777777" w:rsidR="00202733" w:rsidRDefault="00877F6F" w:rsidP="00202733">
      <w:pPr>
        <w:pStyle w:val="ad"/>
        <w:ind w:left="0"/>
        <w:rPr>
          <w:rFonts w:ascii="Times New Roman Bold" w:eastAsia="Times New Roman" w:hAnsi="Times New Roman Bold" w:cs="Times New Roman Bold"/>
          <w:b/>
          <w:bCs/>
          <w:szCs w:val="26"/>
        </w:rPr>
      </w:pPr>
      <w:r>
        <w:rPr>
          <w:rFonts w:ascii="Times New Roman Bold" w:eastAsia="宋体" w:hAnsi="Times New Roman Bold" w:cs="Times New Roman Bold"/>
          <w:b/>
          <w:bCs/>
          <w:szCs w:val="26"/>
        </w:rPr>
        <w:t xml:space="preserve">2.2 </w:t>
      </w:r>
      <w:r w:rsidR="00202733" w:rsidRPr="00202733">
        <w:rPr>
          <w:rFonts w:ascii="Times New Roman Bold" w:eastAsia="Times New Roman" w:hAnsi="Times New Roman Bold" w:cs="Times New Roman Bold"/>
          <w:b/>
          <w:bCs/>
          <w:szCs w:val="26"/>
        </w:rPr>
        <w:t>The Micro-Generation Mechanism of Emotional Energy in Interaction Ritual Chains</w:t>
      </w:r>
    </w:p>
    <w:p w14:paraId="3DD06221" w14:textId="315F8F85" w:rsidR="00202733" w:rsidRDefault="00202733" w:rsidP="00202733">
      <w:pPr>
        <w:pStyle w:val="ad"/>
        <w:ind w:left="0" w:firstLineChars="200" w:firstLine="480"/>
        <w:jc w:val="left"/>
        <w:rPr>
          <w:rFonts w:eastAsia="Times New Roman" w:cs="Times New Roman"/>
          <w:sz w:val="24"/>
        </w:rPr>
      </w:pPr>
      <w:r w:rsidRPr="00202733">
        <w:rPr>
          <w:rFonts w:eastAsia="Times New Roman" w:cs="Times New Roman"/>
          <w:sz w:val="24"/>
        </w:rPr>
        <w:t>If height is acknowledged as a form of advantageous capital, the question remains: how precisely does this capital translate into psychological well-being? Randall Collins’ (2004) theory of interaction ritual chains provides a micro-sociological explanation. This theory posits that social structures are dynamic processes woven from countless micro-level ritual chains of interaction. A successful interaction ritual fosters shared focal points and emotional bonds among participants, ultimately generating emotional energy. Emotional energy constitutes a long-term, embodied psychological resource manifesting as self-confidence, enthusiasm, initiative, and a sense of meaning in life, which are the core psychological components of subjective well-being.</w:t>
      </w:r>
    </w:p>
    <w:p w14:paraId="7E5155F0" w14:textId="77777777" w:rsidR="00202733" w:rsidRPr="00202733" w:rsidRDefault="00202733" w:rsidP="00202733">
      <w:pPr>
        <w:pStyle w:val="ad"/>
        <w:ind w:left="0" w:firstLineChars="200" w:firstLine="480"/>
        <w:jc w:val="left"/>
        <w:rPr>
          <w:rFonts w:eastAsia="Times New Roman" w:cs="Times New Roman"/>
          <w:sz w:val="24"/>
        </w:rPr>
      </w:pPr>
      <w:r w:rsidRPr="00202733">
        <w:rPr>
          <w:rFonts w:eastAsia="Times New Roman" w:cs="Times New Roman"/>
          <w:sz w:val="24"/>
        </w:rPr>
        <w:t>Within these micro-level ritual interactions, bodily form exerts a subtle yet pivotal regulatory influence. Individuals possessing height advantages, owing to their physical prominence and visual distinctiveness, are more readily drawn into the center of group interactions or are assigned dominant roles. This micro-level interactive advantage facilitates greater respect, acceptance, and positive feedback from interaction partners, yielding heightened emotional energy upon the conclusion of the ritual. Should such positive emotional experiences recur consistently in daily life, they may internalize as stable psychological traits. Conversely, individuals at a stature disadvantage may face heightened risks of being overlooked or relegated to subordinate positions within these exchanges, leading to the depletion of emotional energy. Consequently, this study hypothesizes that the quality of social interactions and emotional experiences constitute the critical bridge linking height to well-being.</w:t>
      </w:r>
    </w:p>
    <w:p w14:paraId="6A1FB0FE" w14:textId="77777777" w:rsidR="00202733" w:rsidRPr="00202733" w:rsidRDefault="00202733" w:rsidP="00202733">
      <w:pPr>
        <w:pStyle w:val="ad"/>
        <w:ind w:left="0"/>
        <w:rPr>
          <w:rFonts w:eastAsia="Times New Roman" w:cs="Times New Roman"/>
          <w:sz w:val="24"/>
        </w:rPr>
      </w:pPr>
    </w:p>
    <w:p w14:paraId="6699ABE9" w14:textId="060E9B2F" w:rsidR="00202733" w:rsidRDefault="00202733" w:rsidP="00202733">
      <w:pPr>
        <w:pStyle w:val="ad"/>
        <w:ind w:left="0"/>
        <w:rPr>
          <w:rFonts w:ascii="Times New Roman Bold" w:eastAsia="Times New Roman" w:hAnsi="Times New Roman Bold" w:cs="Times New Roman Bold"/>
          <w:b/>
          <w:bCs/>
          <w:szCs w:val="26"/>
        </w:rPr>
      </w:pPr>
      <w:r>
        <w:rPr>
          <w:rFonts w:ascii="Times New Roman Bold" w:eastAsia="宋体" w:hAnsi="Times New Roman Bold" w:cs="Times New Roman Bold"/>
          <w:b/>
          <w:bCs/>
          <w:szCs w:val="26"/>
        </w:rPr>
        <w:t xml:space="preserve">2.3 </w:t>
      </w:r>
      <w:r w:rsidRPr="00202733">
        <w:rPr>
          <w:rFonts w:ascii="Times New Roman Bold" w:eastAsia="Times New Roman" w:hAnsi="Times New Roman Bold" w:cs="Times New Roman Bold"/>
          <w:b/>
          <w:bCs/>
          <w:szCs w:val="26"/>
        </w:rPr>
        <w:t>Differentiated Expectations of Body Shape under Gender Norms</w:t>
      </w:r>
    </w:p>
    <w:p w14:paraId="6476161E" w14:textId="77777777" w:rsidR="00202733" w:rsidRPr="00202733" w:rsidRDefault="00202733" w:rsidP="00116566">
      <w:pPr>
        <w:ind w:firstLineChars="200" w:firstLine="480"/>
        <w:rPr>
          <w:rFonts w:eastAsia="Times New Roman" w:cs="Times New Roman"/>
          <w:sz w:val="24"/>
        </w:rPr>
      </w:pPr>
      <w:r w:rsidRPr="00202733">
        <w:rPr>
          <w:rFonts w:eastAsia="Times New Roman" w:cs="Times New Roman"/>
          <w:sz w:val="24"/>
        </w:rPr>
        <w:t>Although height is generally regarded as a positive asset, its utility does not operate in a vacuum; rather, it is powerfully constrained and regulated by gender norms. Within traditional gender role divisions, men are typically expected to embody the roles of protector and authority figure. This role expectation manifests physically as a preference for tall stature (Yancey &amp; Emerson, 2016). Consequently, societal expectations regarding male height often follow a linear progression in which greater stature is directly equated with masculinity, competitiveness, and social standing. Increases in male height are almost invariably accompanied by heightened social evaluation and greater subjective well-being.</w:t>
      </w:r>
    </w:p>
    <w:p w14:paraId="212BAAED" w14:textId="7D9AD565" w:rsidR="00877F6F" w:rsidRPr="00202733" w:rsidRDefault="00202733" w:rsidP="00116566">
      <w:pPr>
        <w:ind w:firstLineChars="200" w:firstLine="480"/>
        <w:rPr>
          <w:rFonts w:eastAsia="Times New Roman" w:cs="Times New Roman"/>
          <w:sz w:val="24"/>
        </w:rPr>
      </w:pPr>
      <w:r w:rsidRPr="00202733">
        <w:rPr>
          <w:rFonts w:eastAsia="Times New Roman" w:cs="Times New Roman"/>
          <w:sz w:val="24"/>
        </w:rPr>
        <w:t>For women, however, societal aesthetic standards present a more complex set of conventions. While being short may be perceived as lacking professional competitiveness, excessive height, particularly when it significantly exceeds that of a spouse or the average male, may contravene traditional gender norms regarding feminine grace or submissiveness. These gender role stereotypes may subject taller women to social pressures in dating markets and specific social settings (Swami et al., 2008), where physical advantages paradoxically become barriers to interaction. Such gendered bodily norms subtly shape the experiential dynamics between different gender groups. Consequently, this study proposes the Gender Heterogeneity Hypothesis: male well-being exhibits a linear upward trend with increasing height, whereas female height and well-being demonstrate an inverted U-shaped relationship. This suggests the existence of a socially normative optimal range for women, beyond which the marginal effect of height on well-being diminishes.</w:t>
      </w:r>
    </w:p>
    <w:p w14:paraId="3A479130" w14:textId="77777777" w:rsidR="00202733" w:rsidRPr="00202733" w:rsidRDefault="00202733" w:rsidP="00877F6F">
      <w:pPr>
        <w:rPr>
          <w:rFonts w:eastAsia="Times New Roman" w:cs="Times New Roman"/>
          <w:sz w:val="24"/>
        </w:rPr>
      </w:pPr>
    </w:p>
    <w:p w14:paraId="234903D7" w14:textId="77777777" w:rsidR="00877F6F" w:rsidRDefault="00877F6F" w:rsidP="00877F6F">
      <w:pPr>
        <w:pStyle w:val="ad"/>
        <w:numPr>
          <w:ilvl w:val="0"/>
          <w:numId w:val="1"/>
        </w:numPr>
        <w:rPr>
          <w:rFonts w:ascii="Times New Roman Bold" w:eastAsia="Times New Roman" w:hAnsi="Times New Roman Bold" w:cs="Times New Roman Bold"/>
          <w:b/>
          <w:sz w:val="28"/>
          <w:szCs w:val="28"/>
        </w:rPr>
      </w:pPr>
      <w:r>
        <w:rPr>
          <w:rFonts w:ascii="Times New Roman Bold" w:eastAsia="Times New Roman" w:hAnsi="Times New Roman Bold" w:cs="Times New Roman Bold"/>
          <w:b/>
          <w:sz w:val="28"/>
          <w:szCs w:val="28"/>
        </w:rPr>
        <w:t>Methodology and Procedures</w:t>
      </w:r>
    </w:p>
    <w:p w14:paraId="18B5A77F" w14:textId="759EE8E3" w:rsidR="00202733" w:rsidRPr="00202733" w:rsidRDefault="00202733" w:rsidP="00202733">
      <w:pPr>
        <w:pStyle w:val="ad"/>
        <w:ind w:left="0"/>
        <w:rPr>
          <w:rFonts w:ascii="Times New Roman Bold" w:eastAsia="宋体" w:hAnsi="Times New Roman Bold" w:cs="Times New Roman Bold"/>
          <w:b/>
          <w:bCs/>
          <w:szCs w:val="26"/>
        </w:rPr>
      </w:pPr>
      <w:r>
        <w:rPr>
          <w:rFonts w:ascii="Times New Roman Bold" w:eastAsia="宋体" w:hAnsi="Times New Roman Bold" w:cs="Times New Roman Bold"/>
          <w:b/>
          <w:bCs/>
          <w:szCs w:val="26"/>
        </w:rPr>
        <w:t>3.1</w:t>
      </w:r>
      <w:r w:rsidRPr="00202733">
        <w:rPr>
          <w:rFonts w:ascii="Times New Roman Bold" w:eastAsia="宋体" w:hAnsi="Times New Roman Bold" w:cs="Times New Roman Bold"/>
          <w:b/>
          <w:bCs/>
          <w:szCs w:val="26"/>
        </w:rPr>
        <w:t xml:space="preserve"> Data Sources and Sample Selection</w:t>
      </w:r>
    </w:p>
    <w:p w14:paraId="27A27C40" w14:textId="77777777" w:rsidR="00202733" w:rsidRPr="00202733" w:rsidRDefault="00202733" w:rsidP="00116566">
      <w:pPr>
        <w:ind w:firstLineChars="200" w:firstLine="480"/>
        <w:rPr>
          <w:rFonts w:eastAsiaTheme="minorEastAsia" w:cs="Times New Roman"/>
          <w:sz w:val="24"/>
        </w:rPr>
      </w:pPr>
      <w:r w:rsidRPr="00202733">
        <w:rPr>
          <w:rFonts w:eastAsiaTheme="minorEastAsia" w:cs="Times New Roman"/>
          <w:sz w:val="24"/>
        </w:rPr>
        <w:t>The data for this study are derived from the 2018 China Family Panel Studies (CFPS) conducted by the Institute of Social Science Survey (ISSS) at Peking University. As a large-scale, nationally representative longitudinal survey, the CFPS employs a rigorous multi-stage, stratified, probability-proportional-to-size (PPS) sampling method. Its sample covers 25 provinces, municipalities, and autonomous regions across China, providing a robust reflection of shifts in Chinese society, economy, demographics, education, and health. The database comprehensively records respondents' physical characteristics, socioeconomic status, and family dynamics while incorporating extensive mental health and subjective attitude scales. This dataset offers a robust empirical foundation for exploring the role of physical characteristics in micro-level social interactions.</w:t>
      </w:r>
    </w:p>
    <w:p w14:paraId="01BDB351" w14:textId="5C3CCE22" w:rsidR="00877F6F" w:rsidRDefault="00202733" w:rsidP="00116566">
      <w:pPr>
        <w:ind w:firstLineChars="200" w:firstLine="480"/>
        <w:rPr>
          <w:rFonts w:eastAsiaTheme="minorEastAsia" w:cs="Times New Roman"/>
          <w:sz w:val="24"/>
        </w:rPr>
      </w:pPr>
      <w:r w:rsidRPr="00202733">
        <w:rPr>
          <w:rFonts w:eastAsiaTheme="minorEastAsia" w:cs="Times New Roman"/>
          <w:sz w:val="24"/>
        </w:rPr>
        <w:t>Based on the research objectives, the original data underwent rigorous screening and cleaning. First, considering that height remains subject to developmental fluctuations during adolescence and is significantly influenced by the family environment, only adults aged 25 and above were selected to ensure the stability of the height variable (Case &amp; Paxson, 2008). Second, samples exhibiting missing values or logical errors in core variables, such as well-being, height, and income, were excluded. Finally, to mitigate the impact of outliers, extreme cases with heights below 140 cm were removed. Following these procedures, a final valid sample of 25,162 individuals was obtained, comprising 12,737 males (50.6%) and 12,425 females (49.4%). The sample structure exhibits sound representativeness in terms of gender and regional distribution.</w:t>
      </w:r>
    </w:p>
    <w:p w14:paraId="596F8FDF" w14:textId="27EF4437" w:rsidR="00202733" w:rsidRDefault="00202733" w:rsidP="00877F6F">
      <w:pPr>
        <w:rPr>
          <w:rFonts w:eastAsiaTheme="minorEastAsia" w:cs="Times New Roman"/>
          <w:sz w:val="24"/>
        </w:rPr>
      </w:pPr>
    </w:p>
    <w:p w14:paraId="674CB0E9" w14:textId="51F9C900" w:rsidR="00202733" w:rsidRPr="00202733" w:rsidRDefault="00202733" w:rsidP="00202733">
      <w:pPr>
        <w:pStyle w:val="ad"/>
        <w:ind w:left="0"/>
        <w:rPr>
          <w:rFonts w:ascii="Times New Roman Bold" w:eastAsia="宋体" w:hAnsi="Times New Roman Bold" w:cs="Times New Roman Bold"/>
          <w:b/>
          <w:bCs/>
          <w:szCs w:val="26"/>
        </w:rPr>
      </w:pPr>
      <w:r>
        <w:rPr>
          <w:rFonts w:ascii="Times New Roman Bold" w:eastAsia="宋体" w:hAnsi="Times New Roman Bold" w:cs="Times New Roman Bold"/>
          <w:b/>
          <w:bCs/>
          <w:szCs w:val="26"/>
        </w:rPr>
        <w:t>3.2</w:t>
      </w:r>
      <w:r w:rsidRPr="00202733">
        <w:rPr>
          <w:rFonts w:ascii="Times New Roman Bold" w:eastAsia="宋体" w:hAnsi="Times New Roman Bold" w:cs="Times New Roman Bold"/>
          <w:b/>
          <w:bCs/>
          <w:szCs w:val="26"/>
        </w:rPr>
        <w:t xml:space="preserve"> Data Sources and Sample Selection</w:t>
      </w:r>
    </w:p>
    <w:p w14:paraId="7BD3219A" w14:textId="2F6065C3" w:rsidR="00202733" w:rsidRPr="00116566" w:rsidRDefault="00202733" w:rsidP="00116566">
      <w:pPr>
        <w:ind w:firstLineChars="200" w:firstLine="480"/>
        <w:rPr>
          <w:rFonts w:eastAsiaTheme="minorEastAsia" w:cs="Times New Roman"/>
          <w:sz w:val="24"/>
        </w:rPr>
      </w:pPr>
      <w:r w:rsidRPr="00202733">
        <w:rPr>
          <w:rFonts w:eastAsiaTheme="minorEastAsia" w:cs="Times New Roman"/>
          <w:sz w:val="24"/>
        </w:rPr>
        <w:t>The dependent variable is subjective well-being. Following the classical paradigm of happiness economics, this study employs the self-reported item from the CFPS questionnaire asking respondents to rate how happy they feel. Responses are recorded on an 11-point scale ranging from 0 to 10, with higher scores indicating stronger subjective well-being. Although single-item measurement is concise, prior research confirms its robust validity and reliability in large-scale surveys (Krueger &amp; Schkade, 2008).</w:t>
      </w:r>
    </w:p>
    <w:p w14:paraId="6DBD0096" w14:textId="6F61A722" w:rsidR="00202733" w:rsidRPr="00116566" w:rsidRDefault="00202733" w:rsidP="00116566">
      <w:pPr>
        <w:ind w:firstLineChars="200" w:firstLine="480"/>
        <w:rPr>
          <w:rFonts w:eastAsiaTheme="minorEastAsia" w:cs="Times New Roman"/>
          <w:sz w:val="24"/>
        </w:rPr>
      </w:pPr>
      <w:r w:rsidRPr="00202733">
        <w:rPr>
          <w:rFonts w:eastAsiaTheme="minorEastAsia" w:cs="Times New Roman"/>
          <w:sz w:val="24"/>
        </w:rPr>
        <w:t>The core explanatory variable is the respondent's height. To eliminate natural physiological variations stemming from gender and age differences and to facilitate the interpretation of regression coefficients, height data were standardized for the empirical analysis. Within our theoretical framework, height is conceptualized as a form of innate visual capital (Hakim, 2010).</w:t>
      </w:r>
    </w:p>
    <w:p w14:paraId="1E44B82F" w14:textId="0DECD71C" w:rsidR="00202733" w:rsidRDefault="00202733" w:rsidP="00116566">
      <w:pPr>
        <w:tabs>
          <w:tab w:val="num" w:pos="720"/>
        </w:tabs>
        <w:ind w:firstLineChars="200" w:firstLine="480"/>
        <w:rPr>
          <w:rFonts w:eastAsiaTheme="minorEastAsia" w:cs="Times New Roman"/>
          <w:sz w:val="24"/>
        </w:rPr>
      </w:pPr>
      <w:r w:rsidRPr="00202733">
        <w:rPr>
          <w:rFonts w:eastAsiaTheme="minorEastAsia" w:cs="Times New Roman"/>
          <w:sz w:val="24"/>
        </w:rPr>
        <w:t xml:space="preserve">To precisely capture the complex mechanisms through which height influences well-being, this study constructs two key latent variables based on interaction ritual chain theory: </w:t>
      </w:r>
      <w:r w:rsidR="00116566" w:rsidRPr="00116566">
        <w:rPr>
          <w:rFonts w:eastAsiaTheme="minorEastAsia" w:cs="Times New Roman"/>
          <w:sz w:val="24"/>
        </w:rPr>
        <w:t>s</w:t>
      </w:r>
      <w:r w:rsidRPr="00202733">
        <w:rPr>
          <w:rFonts w:eastAsiaTheme="minorEastAsia" w:cs="Times New Roman"/>
          <w:sz w:val="24"/>
        </w:rPr>
        <w:t xml:space="preserve">ocial </w:t>
      </w:r>
      <w:r w:rsidR="00116566" w:rsidRPr="00116566">
        <w:rPr>
          <w:rFonts w:eastAsiaTheme="minorEastAsia" w:cs="Times New Roman"/>
          <w:sz w:val="24"/>
        </w:rPr>
        <w:t>i</w:t>
      </w:r>
      <w:r w:rsidRPr="00202733">
        <w:rPr>
          <w:rFonts w:eastAsiaTheme="minorEastAsia" w:cs="Times New Roman"/>
          <w:sz w:val="24"/>
        </w:rPr>
        <w:t xml:space="preserve">nteraction </w:t>
      </w:r>
      <w:r w:rsidR="00116566" w:rsidRPr="00116566">
        <w:rPr>
          <w:rFonts w:eastAsiaTheme="minorEastAsia" w:cs="Times New Roman"/>
          <w:sz w:val="24"/>
        </w:rPr>
        <w:t>q</w:t>
      </w:r>
      <w:r w:rsidRPr="00202733">
        <w:rPr>
          <w:rFonts w:eastAsiaTheme="minorEastAsia" w:cs="Times New Roman"/>
          <w:sz w:val="24"/>
        </w:rPr>
        <w:t xml:space="preserve">uality and </w:t>
      </w:r>
      <w:r w:rsidR="00116566" w:rsidRPr="00116566">
        <w:rPr>
          <w:rFonts w:eastAsiaTheme="minorEastAsia" w:cs="Times New Roman"/>
          <w:sz w:val="24"/>
        </w:rPr>
        <w:t>n</w:t>
      </w:r>
      <w:r w:rsidRPr="00202733">
        <w:rPr>
          <w:rFonts w:eastAsiaTheme="minorEastAsia" w:cs="Times New Roman"/>
          <w:sz w:val="24"/>
        </w:rPr>
        <w:t xml:space="preserve">egative </w:t>
      </w:r>
      <w:r w:rsidR="00116566" w:rsidRPr="00116566">
        <w:rPr>
          <w:rFonts w:eastAsiaTheme="minorEastAsia" w:cs="Times New Roman"/>
          <w:sz w:val="24"/>
        </w:rPr>
        <w:t>e</w:t>
      </w:r>
      <w:r w:rsidRPr="00202733">
        <w:rPr>
          <w:rFonts w:eastAsiaTheme="minorEastAsia" w:cs="Times New Roman"/>
          <w:sz w:val="24"/>
        </w:rPr>
        <w:t>motion.</w:t>
      </w:r>
      <w:r w:rsidRPr="00116566">
        <w:rPr>
          <w:rFonts w:eastAsiaTheme="minorEastAsia" w:cs="Times New Roman"/>
          <w:sz w:val="24"/>
        </w:rPr>
        <w:t xml:space="preserve"> </w:t>
      </w:r>
      <w:r w:rsidRPr="00202733">
        <w:rPr>
          <w:rFonts w:eastAsiaTheme="minorEastAsia" w:cs="Times New Roman"/>
          <w:sz w:val="24"/>
        </w:rPr>
        <w:t xml:space="preserve">Social </w:t>
      </w:r>
      <w:r w:rsidR="00116566" w:rsidRPr="00116566">
        <w:rPr>
          <w:rFonts w:eastAsiaTheme="minorEastAsia" w:cs="Times New Roman"/>
          <w:sz w:val="24"/>
        </w:rPr>
        <w:t>i</w:t>
      </w:r>
      <w:r w:rsidRPr="00202733">
        <w:rPr>
          <w:rFonts w:eastAsiaTheme="minorEastAsia" w:cs="Times New Roman"/>
          <w:sz w:val="24"/>
        </w:rPr>
        <w:t xml:space="preserve">nteraction </w:t>
      </w:r>
      <w:r w:rsidR="00116566" w:rsidRPr="00116566">
        <w:rPr>
          <w:rFonts w:eastAsiaTheme="minorEastAsia" w:cs="Times New Roman"/>
          <w:sz w:val="24"/>
        </w:rPr>
        <w:t>q</w:t>
      </w:r>
      <w:r w:rsidRPr="00202733">
        <w:rPr>
          <w:rFonts w:eastAsiaTheme="minorEastAsia" w:cs="Times New Roman"/>
          <w:sz w:val="24"/>
        </w:rPr>
        <w:t>uality measures an individual's popularity and interaction capital within social networks. It is constructed from three observed indicators: self-rated popularity (0–10 scale), general social trust (trust in strangers, 1–5 scale), and the logarithmic value of expenditures on family social obligations. This latent variable reflects an individual's capacity to secure trust and support through social engagement (Putnam, 2000).</w:t>
      </w:r>
      <w:r w:rsidRPr="00116566">
        <w:rPr>
          <w:rFonts w:eastAsiaTheme="minorEastAsia" w:cs="Times New Roman"/>
          <w:sz w:val="24"/>
        </w:rPr>
        <w:t xml:space="preserve"> </w:t>
      </w:r>
      <w:r w:rsidRPr="00202733">
        <w:rPr>
          <w:rFonts w:eastAsiaTheme="minorEastAsia" w:cs="Times New Roman"/>
          <w:sz w:val="24"/>
        </w:rPr>
        <w:t xml:space="preserve">Negative </w:t>
      </w:r>
      <w:r w:rsidR="00116566" w:rsidRPr="00116566">
        <w:rPr>
          <w:rFonts w:eastAsiaTheme="minorEastAsia" w:cs="Times New Roman"/>
          <w:sz w:val="24"/>
        </w:rPr>
        <w:t>e</w:t>
      </w:r>
      <w:r w:rsidRPr="00202733">
        <w:rPr>
          <w:rFonts w:eastAsiaTheme="minorEastAsia" w:cs="Times New Roman"/>
          <w:sz w:val="24"/>
        </w:rPr>
        <w:t>motion reflects the expenditure of emotional energy during interactions. It is constructed using five items from the CES-D Depression Scale, assessing the frequency of feeling down, tired, lonely, sad, or hopeless (Radloff, 1977).</w:t>
      </w:r>
    </w:p>
    <w:p w14:paraId="4D5AB69E" w14:textId="04E37D0F" w:rsidR="00202733" w:rsidRPr="00202733" w:rsidRDefault="00202733" w:rsidP="00116566">
      <w:pPr>
        <w:ind w:firstLineChars="200" w:firstLine="480"/>
        <w:rPr>
          <w:rFonts w:eastAsiaTheme="minorEastAsia" w:cs="Times New Roman"/>
          <w:sz w:val="24"/>
        </w:rPr>
      </w:pPr>
      <w:r w:rsidRPr="00202733">
        <w:rPr>
          <w:rFonts w:eastAsiaTheme="minorEastAsia" w:cs="Times New Roman"/>
          <w:sz w:val="24"/>
        </w:rPr>
        <w:t xml:space="preserve">To effectively isolate the net effect of social interaction mechanisms, the study specifically includes cognitive ability and personal income as control pathways. Cognitive ability is measured </w:t>
      </w:r>
      <w:r w:rsidRPr="00202733">
        <w:rPr>
          <w:rFonts w:eastAsiaTheme="minorEastAsia" w:cs="Times New Roman"/>
          <w:sz w:val="24"/>
        </w:rPr>
        <w:lastRenderedPageBreak/>
        <w:t>using scores from the CFPS word recall and mathematical ability tests, while personal income is represented by the logarithm of the respondent's annual income. Additionally, to mitigate potential omitted variable bias, the study controls for a range of demographic and socioeconomic factors, including gender, household registration status (urban/rural), marital status, educational attainment, self-rated health status, BMI, and age. The squared term of age is also included to capture the established U-shaped relationship between age and well-being (Blanchflower &amp; Oswald, 2008).</w:t>
      </w:r>
    </w:p>
    <w:p w14:paraId="62595450" w14:textId="18046D90" w:rsidR="00202733" w:rsidRDefault="00202733" w:rsidP="00877F6F">
      <w:pPr>
        <w:rPr>
          <w:rFonts w:eastAsiaTheme="minorEastAsia" w:cs="Times New Roman"/>
          <w:sz w:val="24"/>
        </w:rPr>
      </w:pPr>
    </w:p>
    <w:p w14:paraId="612936F4" w14:textId="345900C7" w:rsidR="00202733" w:rsidRPr="00202733" w:rsidRDefault="00202733" w:rsidP="00202733">
      <w:pPr>
        <w:pStyle w:val="ad"/>
        <w:ind w:left="0"/>
        <w:rPr>
          <w:rFonts w:ascii="Times New Roman Bold" w:eastAsia="宋体" w:hAnsi="Times New Roman Bold" w:cs="Times New Roman Bold"/>
          <w:b/>
          <w:bCs/>
          <w:szCs w:val="26"/>
        </w:rPr>
      </w:pPr>
      <w:bookmarkStart w:id="1" w:name="_Hlk217175795"/>
      <w:r>
        <w:rPr>
          <w:rFonts w:ascii="Times New Roman Bold" w:eastAsia="宋体" w:hAnsi="Times New Roman Bold" w:cs="Times New Roman Bold"/>
          <w:b/>
          <w:bCs/>
          <w:szCs w:val="26"/>
        </w:rPr>
        <w:t>3.3</w:t>
      </w:r>
      <w:r w:rsidRPr="00202733">
        <w:rPr>
          <w:rFonts w:ascii="Times New Roman Bold" w:eastAsia="宋体" w:hAnsi="Times New Roman Bold" w:cs="Times New Roman Bold"/>
          <w:b/>
          <w:bCs/>
          <w:szCs w:val="26"/>
        </w:rPr>
        <w:t xml:space="preserve"> Analytical Strategy</w:t>
      </w:r>
    </w:p>
    <w:p w14:paraId="7CEBE162" w14:textId="655E2A77" w:rsidR="00202733" w:rsidRPr="00202733" w:rsidRDefault="00202733" w:rsidP="00116566">
      <w:pPr>
        <w:ind w:firstLineChars="200" w:firstLine="480"/>
        <w:rPr>
          <w:rFonts w:eastAsiaTheme="minorEastAsia" w:cs="Times New Roman"/>
          <w:sz w:val="24"/>
        </w:rPr>
      </w:pPr>
      <w:r w:rsidRPr="00202733">
        <w:rPr>
          <w:rFonts w:eastAsiaTheme="minorEastAsia" w:cs="Times New Roman"/>
          <w:sz w:val="24"/>
        </w:rPr>
        <w:t>This study adopts a progressive empirical strategy. First, OLS regression is employed to examine the main effect of height on subjective well-being. A quadratic term for height is introduced into the model to test for potential nonlinear relationships, such as an inverted U-shaped curve. Second, SEM is utilized for path analysis. Compared to traditional stepwise regression, SEM more precisely handles latent variables containing measurement errors (e.g., social interaction quality) while simultaneously estimating the relative effect sizes of multiple mediating pathways. The model is fitted using Maximum Likelihood Estimation (MLE), and the significance of mediating effects is tested using bias-corrected non-parametric percentile bootstrapping with 1,000 resamples (Preacher &amp; Hayes, 2008).</w:t>
      </w:r>
    </w:p>
    <w:bookmarkEnd w:id="1"/>
    <w:p w14:paraId="1C0E06D7" w14:textId="77777777" w:rsidR="00202733" w:rsidRPr="00202733" w:rsidRDefault="00202733" w:rsidP="00877F6F">
      <w:pPr>
        <w:rPr>
          <w:rFonts w:eastAsiaTheme="minorEastAsia" w:cs="Times New Roman"/>
          <w:sz w:val="24"/>
        </w:rPr>
      </w:pPr>
    </w:p>
    <w:p w14:paraId="6594DF40" w14:textId="1D19F7EA" w:rsidR="00877F6F" w:rsidRDefault="0091506C" w:rsidP="00877F6F">
      <w:pPr>
        <w:pStyle w:val="ad"/>
        <w:numPr>
          <w:ilvl w:val="0"/>
          <w:numId w:val="1"/>
        </w:numPr>
        <w:rPr>
          <w:rFonts w:ascii="Times New Roman Bold" w:eastAsia="Times New Roman" w:hAnsi="Times New Roman Bold" w:cs="Times New Roman Bold"/>
          <w:b/>
          <w:sz w:val="28"/>
          <w:szCs w:val="28"/>
        </w:rPr>
      </w:pPr>
      <w:r w:rsidRPr="0091506C">
        <w:rPr>
          <w:rFonts w:ascii="Times New Roman Bold" w:eastAsia="Times New Roman" w:hAnsi="Times New Roman Bold" w:cs="Times New Roman Bold"/>
          <w:b/>
          <w:sz w:val="28"/>
          <w:szCs w:val="28"/>
        </w:rPr>
        <w:t>Data Analysis and Results</w:t>
      </w:r>
    </w:p>
    <w:p w14:paraId="7604BBD3" w14:textId="663A60A3" w:rsidR="0091506C" w:rsidRPr="00202733" w:rsidRDefault="0091506C" w:rsidP="0091506C">
      <w:pPr>
        <w:pStyle w:val="ad"/>
        <w:ind w:left="0"/>
        <w:rPr>
          <w:rFonts w:ascii="Times New Roman Bold" w:eastAsia="宋体" w:hAnsi="Times New Roman Bold" w:cs="Times New Roman Bold"/>
          <w:b/>
          <w:bCs/>
          <w:szCs w:val="26"/>
        </w:rPr>
      </w:pPr>
      <w:r>
        <w:rPr>
          <w:rFonts w:ascii="Times New Roman Bold" w:eastAsia="宋体" w:hAnsi="Times New Roman Bold" w:cs="Times New Roman Bold"/>
          <w:b/>
          <w:bCs/>
          <w:szCs w:val="26"/>
        </w:rPr>
        <w:t>4.1</w:t>
      </w:r>
      <w:r w:rsidRPr="00202733">
        <w:rPr>
          <w:rFonts w:ascii="Times New Roman Bold" w:eastAsia="宋体" w:hAnsi="Times New Roman Bold" w:cs="Times New Roman Bold"/>
          <w:b/>
          <w:bCs/>
          <w:szCs w:val="26"/>
        </w:rPr>
        <w:t xml:space="preserve"> </w:t>
      </w:r>
      <w:r w:rsidRPr="0091506C">
        <w:rPr>
          <w:rFonts w:ascii="Times New Roman Bold" w:eastAsia="宋体" w:hAnsi="Times New Roman Bold" w:cs="Times New Roman Bold"/>
          <w:b/>
          <w:bCs/>
          <w:szCs w:val="26"/>
        </w:rPr>
        <w:t>Sample Characteristics and Descriptive Statistics</w:t>
      </w:r>
    </w:p>
    <w:p w14:paraId="1156F5B6" w14:textId="3F1F56B2" w:rsidR="0091506C" w:rsidRPr="0091506C" w:rsidRDefault="0091506C" w:rsidP="00116566">
      <w:pPr>
        <w:ind w:firstLineChars="200" w:firstLine="480"/>
        <w:rPr>
          <w:rFonts w:eastAsiaTheme="minorEastAsia" w:cs="Times New Roman"/>
          <w:sz w:val="24"/>
        </w:rPr>
      </w:pPr>
      <w:r w:rsidRPr="0091506C">
        <w:rPr>
          <w:rFonts w:eastAsiaTheme="minorEastAsia" w:cs="Times New Roman"/>
          <w:sz w:val="24"/>
        </w:rPr>
        <w:t>Descriptive analysis of the final sample (</w:t>
      </w:r>
      <w:r w:rsidRPr="0091506C">
        <w:rPr>
          <w:rFonts w:eastAsiaTheme="minorEastAsia" w:cs="Times New Roman"/>
          <w:i/>
          <w:iCs/>
          <w:sz w:val="24"/>
        </w:rPr>
        <w:t>N</w:t>
      </w:r>
      <w:r w:rsidRPr="0091506C">
        <w:rPr>
          <w:rFonts w:eastAsiaTheme="minorEastAsia" w:cs="Times New Roman"/>
          <w:sz w:val="24"/>
        </w:rPr>
        <w:t xml:space="preserve"> = 25,162) indicates that the overall level of subjective well-being among Chinese residents is relatively high. The mean self-rated well-being score was 7.50 (on a scale of 0–10), reflecting a generally positive level of life satisfaction. Regarding the core explanatory variables, the average height for males in the sample was 168.93 cm, while females averaged 158.40 cm. These figures align closely with data from the Report on the Status of Nutrition and Chronic Diseases among Chinese Residents (2020) released by the National Health Commission, further validating the representativeness of the sample. Demographically, the average age of respondents was approximately 50 years, encompassing a broad spectrum from young adults to the elderly. Educational attainment and income levels exhibited normal distribution characteristics. Additionally, approximately 52% of the sample held urban household registration, and 88% were married. These preliminary statistics provide a robust foundation for the subsequent empirical analysis.</w:t>
      </w:r>
    </w:p>
    <w:p w14:paraId="2EA6773A" w14:textId="69C64443" w:rsidR="0091506C" w:rsidRPr="00202733" w:rsidRDefault="0091506C" w:rsidP="0091506C">
      <w:pPr>
        <w:rPr>
          <w:rFonts w:eastAsiaTheme="minorEastAsia" w:cs="Times New Roman"/>
          <w:sz w:val="24"/>
        </w:rPr>
      </w:pPr>
    </w:p>
    <w:p w14:paraId="05977265" w14:textId="2CBE4920" w:rsidR="0091506C" w:rsidRPr="00202733" w:rsidRDefault="0091506C" w:rsidP="0091506C">
      <w:pPr>
        <w:pStyle w:val="ad"/>
        <w:ind w:left="0"/>
        <w:rPr>
          <w:rFonts w:ascii="Times New Roman Bold" w:eastAsia="宋体" w:hAnsi="Times New Roman Bold" w:cs="Times New Roman Bold"/>
          <w:b/>
          <w:bCs/>
          <w:szCs w:val="26"/>
        </w:rPr>
      </w:pPr>
      <w:r>
        <w:rPr>
          <w:rFonts w:ascii="Times New Roman Bold" w:eastAsia="宋体" w:hAnsi="Times New Roman Bold" w:cs="Times New Roman Bold"/>
          <w:b/>
          <w:bCs/>
          <w:szCs w:val="26"/>
        </w:rPr>
        <w:t>4.2</w:t>
      </w:r>
      <w:r w:rsidRPr="00202733">
        <w:rPr>
          <w:rFonts w:ascii="Times New Roman Bold" w:eastAsia="宋体" w:hAnsi="Times New Roman Bold" w:cs="Times New Roman Bold"/>
          <w:b/>
          <w:bCs/>
          <w:szCs w:val="26"/>
        </w:rPr>
        <w:t xml:space="preserve"> </w:t>
      </w:r>
      <w:r w:rsidRPr="0091506C">
        <w:rPr>
          <w:rFonts w:ascii="Times New Roman Bold" w:eastAsia="宋体" w:hAnsi="Times New Roman Bold" w:cs="Times New Roman Bold"/>
          <w:b/>
          <w:bCs/>
          <w:szCs w:val="26"/>
        </w:rPr>
        <w:t>Analysis of the Main Effect of Height on Well-being</w:t>
      </w:r>
    </w:p>
    <w:p w14:paraId="11AADC6E" w14:textId="230936D1" w:rsidR="0091506C" w:rsidRDefault="0091506C" w:rsidP="00116566">
      <w:pPr>
        <w:ind w:firstLineChars="200" w:firstLine="480"/>
        <w:rPr>
          <w:rFonts w:eastAsiaTheme="minorEastAsia" w:cs="Times New Roman"/>
          <w:sz w:val="24"/>
        </w:rPr>
      </w:pPr>
      <w:r w:rsidRPr="0091506C">
        <w:rPr>
          <w:rFonts w:eastAsiaTheme="minorEastAsia" w:cs="Times New Roman"/>
          <w:sz w:val="24"/>
        </w:rPr>
        <w:t>The OLS regression analysis confirms the existence of a "happiness premium" associated with height. Empirical results demonstrate that, after rigorously controlling for individual characteristics (age, health status, BMI), family background (per capita household income, household size), and provincial fixed effects, height exerts a significant positive predictive effect on subjective well-being (</w:t>
      </w:r>
      <w:r w:rsidRPr="0091506C">
        <w:rPr>
          <w:rFonts w:eastAsiaTheme="minorEastAsia" w:cs="Times New Roman"/>
          <w:i/>
          <w:iCs/>
          <w:sz w:val="24"/>
        </w:rPr>
        <w:t>β</w:t>
      </w:r>
      <w:r w:rsidRPr="0091506C">
        <w:rPr>
          <w:rFonts w:eastAsiaTheme="minorEastAsia" w:cs="Times New Roman"/>
          <w:sz w:val="24"/>
        </w:rPr>
        <w:t xml:space="preserve"> = 0.022, </w:t>
      </w:r>
      <w:r w:rsidRPr="0091506C">
        <w:rPr>
          <w:rFonts w:eastAsiaTheme="minorEastAsia" w:cs="Times New Roman"/>
          <w:i/>
          <w:iCs/>
          <w:sz w:val="24"/>
        </w:rPr>
        <w:t>p</w:t>
      </w:r>
      <w:r w:rsidRPr="0091506C">
        <w:rPr>
          <w:rFonts w:eastAsiaTheme="minorEastAsia" w:cs="Times New Roman"/>
          <w:sz w:val="24"/>
        </w:rPr>
        <w:t xml:space="preserve"> &lt; .01). This indicates that, holding other objective conditions constant, taller individuals report higher life satisfaction. This finding is consistent with Western research on the height-happiness correlation (Carrieri &amp; De Paola, 2012).</w:t>
      </w:r>
    </w:p>
    <w:p w14:paraId="62D72853" w14:textId="6686110C" w:rsidR="0091506C" w:rsidRPr="0091506C" w:rsidRDefault="0091506C" w:rsidP="00116566">
      <w:pPr>
        <w:ind w:firstLineChars="200" w:firstLine="480"/>
        <w:rPr>
          <w:rFonts w:eastAsiaTheme="minorEastAsia" w:cs="Times New Roman"/>
          <w:sz w:val="24"/>
        </w:rPr>
      </w:pPr>
      <w:r w:rsidRPr="0091506C">
        <w:rPr>
          <w:rFonts w:eastAsiaTheme="minorEastAsia" w:cs="Times New Roman"/>
          <w:sz w:val="24"/>
        </w:rPr>
        <w:t xml:space="preserve">To explore structural differences in this effect, the study conducted gender heterogeneity analyses. The results reveal distinct gender-specific patterns in the marginal effects of height. For men, well-being exhibits a linear upward trend with increasing height, aligning with societal expectations of tall stature for males. In contrast, women exhibit a pronounced inverted U-shaped relationship between height and well-being, with a significant negative coefficient for the squared </w:t>
      </w:r>
      <w:r w:rsidRPr="0091506C">
        <w:rPr>
          <w:rFonts w:eastAsiaTheme="minorEastAsia" w:cs="Times New Roman"/>
          <w:sz w:val="24"/>
        </w:rPr>
        <w:lastRenderedPageBreak/>
        <w:t>term (</w:t>
      </w:r>
      <w:r w:rsidRPr="0091506C">
        <w:rPr>
          <w:rFonts w:eastAsiaTheme="minorEastAsia" w:cs="Times New Roman"/>
          <w:i/>
          <w:iCs/>
          <w:sz w:val="24"/>
        </w:rPr>
        <w:t>β</w:t>
      </w:r>
      <w:r w:rsidRPr="0091506C">
        <w:rPr>
          <w:rFonts w:eastAsiaTheme="minorEastAsia" w:cs="Times New Roman"/>
          <w:sz w:val="24"/>
        </w:rPr>
        <w:t xml:space="preserve"> = -0.090, </w:t>
      </w:r>
      <w:r w:rsidRPr="0091506C">
        <w:rPr>
          <w:rFonts w:eastAsiaTheme="minorEastAsia" w:cs="Times New Roman"/>
          <w:i/>
          <w:iCs/>
          <w:sz w:val="24"/>
        </w:rPr>
        <w:t>p</w:t>
      </w:r>
      <w:r w:rsidRPr="0091506C">
        <w:rPr>
          <w:rFonts w:eastAsiaTheme="minorEastAsia" w:cs="Times New Roman"/>
          <w:sz w:val="24"/>
        </w:rPr>
        <w:t xml:space="preserve"> &lt; .05). The inflection point is estimated to occur around 170 cm. This finding suggests that while height advantages generally enhance women's well-being, excessive height may yield diminishing marginal utility or even negative effects beyond a certain threshold due to deviations from traditional gender norms (Swami et al., 2008).</w:t>
      </w:r>
    </w:p>
    <w:p w14:paraId="2FA0398B" w14:textId="30CC5D58" w:rsidR="0091506C" w:rsidRDefault="0091506C" w:rsidP="00877F6F">
      <w:pPr>
        <w:rPr>
          <w:rFonts w:eastAsiaTheme="minorEastAsia" w:cs="Times New Roman"/>
          <w:sz w:val="24"/>
        </w:rPr>
      </w:pPr>
    </w:p>
    <w:p w14:paraId="1E0C341B" w14:textId="3BA35900" w:rsidR="0091506C" w:rsidRPr="00202733" w:rsidRDefault="0091506C" w:rsidP="0091506C">
      <w:pPr>
        <w:pStyle w:val="ad"/>
        <w:ind w:left="0"/>
        <w:rPr>
          <w:rFonts w:ascii="Times New Roman Bold" w:eastAsia="宋体" w:hAnsi="Times New Roman Bold" w:cs="Times New Roman Bold"/>
          <w:b/>
          <w:bCs/>
          <w:szCs w:val="26"/>
        </w:rPr>
      </w:pPr>
      <w:r>
        <w:rPr>
          <w:rFonts w:ascii="Times New Roman Bold" w:eastAsia="宋体" w:hAnsi="Times New Roman Bold" w:cs="Times New Roman Bold"/>
          <w:b/>
          <w:bCs/>
          <w:szCs w:val="26"/>
        </w:rPr>
        <w:t>4.3</w:t>
      </w:r>
      <w:r w:rsidRPr="00202733">
        <w:rPr>
          <w:rFonts w:ascii="Times New Roman Bold" w:eastAsia="宋体" w:hAnsi="Times New Roman Bold" w:cs="Times New Roman Bold"/>
          <w:b/>
          <w:bCs/>
          <w:szCs w:val="26"/>
        </w:rPr>
        <w:t xml:space="preserve"> </w:t>
      </w:r>
      <w:r w:rsidR="00116566">
        <w:rPr>
          <w:rFonts w:ascii="Times New Roman Bold" w:eastAsia="宋体" w:hAnsi="Times New Roman Bold" w:cs="Times New Roman Bold"/>
          <w:b/>
          <w:bCs/>
          <w:szCs w:val="26"/>
        </w:rPr>
        <w:t>SEM</w:t>
      </w:r>
      <w:r w:rsidRPr="0091506C">
        <w:rPr>
          <w:rFonts w:ascii="Times New Roman Bold" w:eastAsia="宋体" w:hAnsi="Times New Roman Bold" w:cs="Times New Roman Bold"/>
          <w:b/>
          <w:bCs/>
          <w:szCs w:val="26"/>
        </w:rPr>
        <w:t xml:space="preserve"> Analysis of the Mechanism</w:t>
      </w:r>
    </w:p>
    <w:p w14:paraId="0BAADDC3" w14:textId="03878D6A" w:rsidR="0091506C" w:rsidRDefault="0091506C" w:rsidP="00116566">
      <w:pPr>
        <w:ind w:firstLineChars="200" w:firstLine="480"/>
        <w:rPr>
          <w:rFonts w:eastAsiaTheme="minorEastAsia" w:cs="Times New Roman"/>
          <w:sz w:val="24"/>
        </w:rPr>
      </w:pPr>
      <w:r w:rsidRPr="0091506C">
        <w:rPr>
          <w:rFonts w:eastAsiaTheme="minorEastAsia" w:cs="Times New Roman"/>
          <w:sz w:val="24"/>
        </w:rPr>
        <w:t>To elucidate the internal mechanisms driving the influence of height on well-being, this study constructed and tested a SEM incorporating multiple mediating pathways. The model demonstrated adequate fit indices (Chi-square/df = 6.26, RMSEA = 0.051, CFI = 0.912, NFI = 0.901, GFI = 0.924). Although the Chi-square/df ratio is slightly elevated due to the large sample size (</w:t>
      </w:r>
      <w:r w:rsidRPr="0091506C">
        <w:rPr>
          <w:rFonts w:eastAsiaTheme="minorEastAsia" w:cs="Times New Roman"/>
          <w:i/>
          <w:iCs/>
          <w:sz w:val="24"/>
        </w:rPr>
        <w:t>N</w:t>
      </w:r>
      <w:r w:rsidRPr="0091506C">
        <w:rPr>
          <w:rFonts w:eastAsiaTheme="minorEastAsia" w:cs="Times New Roman"/>
          <w:sz w:val="24"/>
        </w:rPr>
        <w:t xml:space="preserve"> &gt; 25,000), all other key metrics meet the statistical criteria for a good fit (Hu &amp; Bentler, 1999), indicating that the theoretical model effectively explains the empirical data.</w:t>
      </w:r>
    </w:p>
    <w:p w14:paraId="3F4D5ECE" w14:textId="77777777" w:rsidR="005424D8" w:rsidRPr="00851F33" w:rsidRDefault="005424D8" w:rsidP="005424D8">
      <w:pPr>
        <w:jc w:val="center"/>
        <w:rPr>
          <w:rFonts w:eastAsiaTheme="minorEastAsia" w:cs="Times New Roman"/>
          <w:sz w:val="24"/>
        </w:rPr>
      </w:pPr>
      <w:r w:rsidRPr="00F75F05">
        <w:rPr>
          <w:rFonts w:hint="eastAsia"/>
          <w:noProof/>
        </w:rPr>
        <w:drawing>
          <wp:inline distT="0" distB="0" distL="0" distR="0" wp14:anchorId="69A050FD" wp14:editId="464FEA27">
            <wp:extent cx="5059680" cy="616558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3192" cy="6169859"/>
                    </a:xfrm>
                    <a:prstGeom prst="rect">
                      <a:avLst/>
                    </a:prstGeom>
                    <a:noFill/>
                    <a:ln>
                      <a:noFill/>
                    </a:ln>
                  </pic:spPr>
                </pic:pic>
              </a:graphicData>
            </a:graphic>
          </wp:inline>
        </w:drawing>
      </w:r>
    </w:p>
    <w:p w14:paraId="163AD23E" w14:textId="77777777" w:rsidR="005424D8" w:rsidRDefault="005424D8" w:rsidP="005424D8">
      <w:pPr>
        <w:jc w:val="center"/>
        <w:rPr>
          <w:rFonts w:eastAsia="宋体" w:cs="Times New Roman"/>
          <w:i/>
          <w:sz w:val="22"/>
          <w:szCs w:val="22"/>
        </w:rPr>
      </w:pPr>
      <w:r>
        <w:rPr>
          <w:rFonts w:eastAsia="Times New Roman" w:cs="Times New Roman"/>
          <w:i/>
          <w:sz w:val="22"/>
          <w:szCs w:val="22"/>
        </w:rPr>
        <w:t>Figure 1:</w:t>
      </w:r>
      <w:r w:rsidRPr="00F75F05">
        <w:t xml:space="preserve"> </w:t>
      </w:r>
      <w:r w:rsidRPr="00F75F05">
        <w:rPr>
          <w:rFonts w:eastAsia="Times New Roman" w:cs="Times New Roman"/>
          <w:i/>
          <w:sz w:val="22"/>
          <w:szCs w:val="22"/>
        </w:rPr>
        <w:t>The Structural Equation Model of the Mechanism Linking Height to Subjective Well-being</w:t>
      </w:r>
    </w:p>
    <w:p w14:paraId="314E7F6C" w14:textId="36E989BC" w:rsidR="005424D8" w:rsidRPr="005424D8" w:rsidRDefault="005424D8" w:rsidP="005424D8">
      <w:pPr>
        <w:ind w:firstLineChars="200" w:firstLine="440"/>
        <w:jc w:val="left"/>
        <w:rPr>
          <w:rFonts w:eastAsia="Times New Roman" w:cs="Times New Roman"/>
          <w:i/>
          <w:sz w:val="22"/>
          <w:szCs w:val="22"/>
        </w:rPr>
      </w:pPr>
      <w:r w:rsidRPr="005424D8">
        <w:rPr>
          <w:rFonts w:eastAsia="Times New Roman" w:cs="Times New Roman"/>
          <w:i/>
          <w:sz w:val="22"/>
          <w:szCs w:val="22"/>
        </w:rPr>
        <w:t xml:space="preserve">Note. Standardized path coefficients are reported. </w:t>
      </w:r>
      <w:r w:rsidRPr="005424D8">
        <w:rPr>
          <w:rFonts w:eastAsia="Times New Roman" w:cs="Times New Roman"/>
          <w:i/>
          <w:sz w:val="22"/>
          <w:szCs w:val="22"/>
          <w:vertAlign w:val="superscript"/>
        </w:rPr>
        <w:t>+</w:t>
      </w:r>
      <w:r w:rsidRPr="005424D8">
        <w:rPr>
          <w:rFonts w:eastAsia="Times New Roman" w:cs="Times New Roman"/>
          <w:i/>
          <w:sz w:val="22"/>
          <w:szCs w:val="22"/>
        </w:rPr>
        <w:t xml:space="preserve">p &lt; .10, </w:t>
      </w:r>
      <w:r>
        <w:rPr>
          <w:rFonts w:eastAsia="Times New Roman" w:cs="Times New Roman"/>
          <w:i/>
          <w:sz w:val="22"/>
          <w:szCs w:val="22"/>
        </w:rPr>
        <w:t>*</w:t>
      </w:r>
      <w:r w:rsidRPr="005424D8">
        <w:rPr>
          <w:rFonts w:eastAsia="Times New Roman" w:cs="Times New Roman"/>
          <w:i/>
          <w:sz w:val="22"/>
          <w:szCs w:val="22"/>
        </w:rPr>
        <w:t xml:space="preserve">p &lt; .05, </w:t>
      </w:r>
      <w:r>
        <w:rPr>
          <w:rFonts w:eastAsia="Times New Roman" w:cs="Times New Roman"/>
          <w:i/>
          <w:sz w:val="22"/>
          <w:szCs w:val="22"/>
        </w:rPr>
        <w:t>**</w:t>
      </w:r>
      <w:r w:rsidRPr="005424D8">
        <w:rPr>
          <w:rFonts w:eastAsia="Times New Roman" w:cs="Times New Roman"/>
          <w:i/>
          <w:sz w:val="22"/>
          <w:szCs w:val="22"/>
        </w:rPr>
        <w:t xml:space="preserve">p &lt; .01, </w:t>
      </w:r>
      <w:r>
        <w:rPr>
          <w:rFonts w:eastAsia="Times New Roman" w:cs="Times New Roman"/>
          <w:i/>
          <w:sz w:val="22"/>
          <w:szCs w:val="22"/>
        </w:rPr>
        <w:t>***</w:t>
      </w:r>
      <w:r w:rsidRPr="005424D8">
        <w:rPr>
          <w:rFonts w:eastAsia="Times New Roman" w:cs="Times New Roman"/>
          <w:i/>
          <w:sz w:val="22"/>
          <w:szCs w:val="22"/>
        </w:rPr>
        <w:t>p &lt; .001.</w:t>
      </w:r>
    </w:p>
    <w:p w14:paraId="0248D62E" w14:textId="77777777" w:rsidR="005424D8" w:rsidRPr="005424D8" w:rsidRDefault="005424D8" w:rsidP="00116566">
      <w:pPr>
        <w:ind w:firstLineChars="200" w:firstLine="480"/>
        <w:rPr>
          <w:rFonts w:eastAsiaTheme="minorEastAsia" w:cs="Times New Roman"/>
          <w:sz w:val="24"/>
        </w:rPr>
      </w:pPr>
    </w:p>
    <w:p w14:paraId="350A3BC3" w14:textId="10212BEA" w:rsidR="0091506C" w:rsidRDefault="0091506C" w:rsidP="00116566">
      <w:pPr>
        <w:ind w:firstLineChars="200" w:firstLine="480"/>
        <w:rPr>
          <w:rFonts w:eastAsiaTheme="minorEastAsia" w:cs="Times New Roman"/>
          <w:sz w:val="24"/>
        </w:rPr>
      </w:pPr>
      <w:r w:rsidRPr="0091506C">
        <w:rPr>
          <w:rFonts w:eastAsiaTheme="minorEastAsia" w:cs="Times New Roman"/>
          <w:sz w:val="24"/>
        </w:rPr>
        <w:lastRenderedPageBreak/>
        <w:t xml:space="preserve">The path analysis results delineate two distinct pathways through which height translates into well-being. First, the traditional economic and cognitive pathways—serving as control mechanisms—were supported by the data. Findings reveal that height significantly and positively predicts cognitive ability (Male </w:t>
      </w:r>
      <w:r w:rsidRPr="0091506C">
        <w:rPr>
          <w:rFonts w:eastAsiaTheme="minorEastAsia" w:cs="Times New Roman"/>
          <w:i/>
          <w:iCs/>
          <w:sz w:val="24"/>
        </w:rPr>
        <w:t>β</w:t>
      </w:r>
      <w:r w:rsidRPr="0091506C">
        <w:rPr>
          <w:rFonts w:eastAsiaTheme="minorEastAsia" w:cs="Times New Roman"/>
          <w:sz w:val="24"/>
        </w:rPr>
        <w:t xml:space="preserve"> = 0.189, </w:t>
      </w:r>
      <w:r w:rsidRPr="0091506C">
        <w:rPr>
          <w:rFonts w:eastAsiaTheme="minorEastAsia" w:cs="Times New Roman"/>
          <w:i/>
          <w:iCs/>
          <w:sz w:val="24"/>
        </w:rPr>
        <w:t>p</w:t>
      </w:r>
      <w:r w:rsidRPr="0091506C">
        <w:rPr>
          <w:rFonts w:eastAsiaTheme="minorEastAsia" w:cs="Times New Roman"/>
          <w:sz w:val="24"/>
        </w:rPr>
        <w:t xml:space="preserve"> &lt; .001; Female </w:t>
      </w:r>
      <w:r w:rsidRPr="0091506C">
        <w:rPr>
          <w:rFonts w:eastAsiaTheme="minorEastAsia" w:cs="Times New Roman"/>
          <w:i/>
          <w:iCs/>
          <w:sz w:val="24"/>
        </w:rPr>
        <w:t>β</w:t>
      </w:r>
      <w:r w:rsidRPr="0091506C">
        <w:rPr>
          <w:rFonts w:eastAsiaTheme="minorEastAsia" w:cs="Times New Roman"/>
          <w:sz w:val="24"/>
        </w:rPr>
        <w:t xml:space="preserve"> = 0.089, </w:t>
      </w:r>
      <w:r w:rsidRPr="0091506C">
        <w:rPr>
          <w:rFonts w:eastAsiaTheme="minorEastAsia" w:cs="Times New Roman"/>
          <w:i/>
          <w:iCs/>
          <w:sz w:val="24"/>
        </w:rPr>
        <w:t>p</w:t>
      </w:r>
      <w:r w:rsidRPr="0091506C">
        <w:rPr>
          <w:rFonts w:eastAsiaTheme="minorEastAsia" w:cs="Times New Roman"/>
          <w:sz w:val="24"/>
        </w:rPr>
        <w:t xml:space="preserve"> &lt; .001) and personal income levels (Male </w:t>
      </w:r>
      <w:r w:rsidRPr="0091506C">
        <w:rPr>
          <w:rFonts w:eastAsiaTheme="minorEastAsia" w:cs="Times New Roman"/>
          <w:i/>
          <w:iCs/>
          <w:sz w:val="24"/>
        </w:rPr>
        <w:t>β</w:t>
      </w:r>
      <w:r w:rsidRPr="0091506C">
        <w:rPr>
          <w:rFonts w:eastAsiaTheme="minorEastAsia" w:cs="Times New Roman"/>
          <w:sz w:val="24"/>
        </w:rPr>
        <w:t xml:space="preserve"> = 0.074, </w:t>
      </w:r>
      <w:r w:rsidRPr="0091506C">
        <w:rPr>
          <w:rFonts w:eastAsiaTheme="minorEastAsia" w:cs="Times New Roman"/>
          <w:i/>
          <w:iCs/>
          <w:sz w:val="24"/>
        </w:rPr>
        <w:t>p</w:t>
      </w:r>
      <w:r w:rsidRPr="0091506C">
        <w:rPr>
          <w:rFonts w:eastAsiaTheme="minorEastAsia" w:cs="Times New Roman"/>
          <w:sz w:val="24"/>
        </w:rPr>
        <w:t xml:space="preserve"> &lt; .001), both of which contribute positively to well-being. This replicates the classic conclusion from labor economics that height is associated with cognitive advantages and income premiums (</w:t>
      </w:r>
      <w:proofErr w:type="spellStart"/>
      <w:r w:rsidRPr="0091506C">
        <w:rPr>
          <w:rFonts w:eastAsiaTheme="minorEastAsia" w:cs="Times New Roman"/>
          <w:sz w:val="24"/>
        </w:rPr>
        <w:t>Bossavie</w:t>
      </w:r>
      <w:proofErr w:type="spellEnd"/>
      <w:r w:rsidRPr="0091506C">
        <w:rPr>
          <w:rFonts w:eastAsiaTheme="minorEastAsia" w:cs="Times New Roman"/>
          <w:sz w:val="24"/>
        </w:rPr>
        <w:t xml:space="preserve"> et al., 2021).</w:t>
      </w:r>
    </w:p>
    <w:p w14:paraId="64A36AF9" w14:textId="503E47FE" w:rsidR="0091506C" w:rsidRDefault="0091506C" w:rsidP="00116566">
      <w:pPr>
        <w:ind w:firstLineChars="200" w:firstLine="480"/>
        <w:rPr>
          <w:rFonts w:eastAsiaTheme="minorEastAsia" w:cs="Times New Roman"/>
          <w:sz w:val="24"/>
        </w:rPr>
      </w:pPr>
      <w:r w:rsidRPr="0091506C">
        <w:rPr>
          <w:rFonts w:eastAsiaTheme="minorEastAsia" w:cs="Times New Roman"/>
          <w:sz w:val="24"/>
        </w:rPr>
        <w:t xml:space="preserve">However, a more critical finding is that even after controlling for these economic and cognitive factors, the social interaction pathway demonstrates exceptionally strong explanatory power. Specifically, height exerts a significant positive influence on the Quality of Social Interaction (Male </w:t>
      </w:r>
      <w:r w:rsidRPr="0091506C">
        <w:rPr>
          <w:rFonts w:eastAsiaTheme="minorEastAsia" w:cs="Times New Roman"/>
          <w:i/>
          <w:iCs/>
          <w:sz w:val="24"/>
        </w:rPr>
        <w:t>β</w:t>
      </w:r>
      <w:r w:rsidRPr="0091506C">
        <w:rPr>
          <w:rFonts w:eastAsiaTheme="minorEastAsia" w:cs="Times New Roman"/>
          <w:sz w:val="24"/>
        </w:rPr>
        <w:t xml:space="preserve"> = 0.046, </w:t>
      </w:r>
      <w:r w:rsidRPr="0091506C">
        <w:rPr>
          <w:rFonts w:eastAsiaTheme="minorEastAsia" w:cs="Times New Roman"/>
          <w:i/>
          <w:iCs/>
          <w:sz w:val="24"/>
        </w:rPr>
        <w:t>p</w:t>
      </w:r>
      <w:r w:rsidRPr="0091506C">
        <w:rPr>
          <w:rFonts w:eastAsiaTheme="minorEastAsia" w:cs="Times New Roman"/>
          <w:sz w:val="24"/>
        </w:rPr>
        <w:t xml:space="preserve"> &lt; .05; Female </w:t>
      </w:r>
      <w:r w:rsidRPr="0091506C">
        <w:rPr>
          <w:rFonts w:eastAsiaTheme="minorEastAsia" w:cs="Times New Roman"/>
          <w:i/>
          <w:iCs/>
          <w:sz w:val="24"/>
        </w:rPr>
        <w:t>β</w:t>
      </w:r>
      <w:r w:rsidRPr="0091506C">
        <w:rPr>
          <w:rFonts w:eastAsiaTheme="minorEastAsia" w:cs="Times New Roman"/>
          <w:sz w:val="24"/>
        </w:rPr>
        <w:t xml:space="preserve"> = 0.047, </w:t>
      </w:r>
      <w:r w:rsidRPr="0091506C">
        <w:rPr>
          <w:rFonts w:eastAsiaTheme="minorEastAsia" w:cs="Times New Roman"/>
          <w:i/>
          <w:iCs/>
          <w:sz w:val="24"/>
        </w:rPr>
        <w:t>p</w:t>
      </w:r>
      <w:r w:rsidRPr="0091506C">
        <w:rPr>
          <w:rFonts w:eastAsiaTheme="minorEastAsia" w:cs="Times New Roman"/>
          <w:sz w:val="24"/>
        </w:rPr>
        <w:t xml:space="preserve"> &lt; .05). Notably, the standardized path coefficients from social interaction quality to well-being are substantial (Male </w:t>
      </w:r>
      <w:r w:rsidRPr="0091506C">
        <w:rPr>
          <w:rFonts w:eastAsiaTheme="minorEastAsia" w:cs="Times New Roman"/>
          <w:i/>
          <w:iCs/>
          <w:sz w:val="24"/>
        </w:rPr>
        <w:t>β</w:t>
      </w:r>
      <w:r w:rsidRPr="0091506C">
        <w:rPr>
          <w:rFonts w:eastAsiaTheme="minorEastAsia" w:cs="Times New Roman"/>
          <w:sz w:val="24"/>
        </w:rPr>
        <w:t xml:space="preserve"> = 0.421, </w:t>
      </w:r>
      <w:r w:rsidRPr="0091506C">
        <w:rPr>
          <w:rFonts w:eastAsiaTheme="minorEastAsia" w:cs="Times New Roman"/>
          <w:i/>
          <w:iCs/>
          <w:sz w:val="24"/>
        </w:rPr>
        <w:t>p</w:t>
      </w:r>
      <w:r w:rsidRPr="0091506C">
        <w:rPr>
          <w:rFonts w:eastAsiaTheme="minorEastAsia" w:cs="Times New Roman"/>
          <w:sz w:val="24"/>
        </w:rPr>
        <w:t xml:space="preserve"> &lt; .001; Female </w:t>
      </w:r>
      <w:r w:rsidRPr="0091506C">
        <w:rPr>
          <w:rFonts w:eastAsiaTheme="minorEastAsia" w:cs="Times New Roman"/>
          <w:i/>
          <w:iCs/>
          <w:sz w:val="24"/>
        </w:rPr>
        <w:t>β</w:t>
      </w:r>
      <w:r w:rsidRPr="0091506C">
        <w:rPr>
          <w:rFonts w:eastAsiaTheme="minorEastAsia" w:cs="Times New Roman"/>
          <w:sz w:val="24"/>
        </w:rPr>
        <w:t xml:space="preserve"> = 0.492, </w:t>
      </w:r>
      <w:r w:rsidRPr="0091506C">
        <w:rPr>
          <w:rFonts w:eastAsiaTheme="minorEastAsia" w:cs="Times New Roman"/>
          <w:i/>
          <w:iCs/>
          <w:sz w:val="24"/>
        </w:rPr>
        <w:t>p</w:t>
      </w:r>
      <w:r w:rsidRPr="0091506C">
        <w:rPr>
          <w:rFonts w:eastAsiaTheme="minorEastAsia" w:cs="Times New Roman"/>
          <w:sz w:val="24"/>
        </w:rPr>
        <w:t xml:space="preserve"> &lt; .001), with an effect size far exceeding that of income on well-being (where the income path coefficient is approximately 0.03). This indicates that the favorable social connections, trust, and interpersonal support derived from height advantages are more critical for well-being than marginal increases in income.</w:t>
      </w:r>
    </w:p>
    <w:p w14:paraId="21C52A6C" w14:textId="2CAA56D6" w:rsidR="00877F6F" w:rsidRPr="00116566" w:rsidRDefault="0091506C" w:rsidP="00116566">
      <w:pPr>
        <w:ind w:firstLineChars="200" w:firstLine="480"/>
        <w:rPr>
          <w:rFonts w:eastAsiaTheme="minorEastAsia" w:cs="Times New Roman"/>
          <w:sz w:val="24"/>
        </w:rPr>
      </w:pPr>
      <w:r w:rsidRPr="0091506C">
        <w:rPr>
          <w:rFonts w:eastAsiaTheme="minorEastAsia" w:cs="Times New Roman"/>
          <w:sz w:val="24"/>
        </w:rPr>
        <w:t xml:space="preserve">Concurrently, the affective mechanism was validated. Height significantly reduces the frequency of Negative Emotions (Male </w:t>
      </w:r>
      <w:r w:rsidRPr="0091506C">
        <w:rPr>
          <w:rFonts w:eastAsiaTheme="minorEastAsia" w:cs="Times New Roman"/>
          <w:i/>
          <w:iCs/>
          <w:sz w:val="24"/>
        </w:rPr>
        <w:t>β</w:t>
      </w:r>
      <w:r w:rsidRPr="0091506C">
        <w:rPr>
          <w:rFonts w:eastAsiaTheme="minorEastAsia" w:cs="Times New Roman"/>
          <w:sz w:val="24"/>
        </w:rPr>
        <w:t xml:space="preserve"> = -0.086, </w:t>
      </w:r>
      <w:r w:rsidRPr="0091506C">
        <w:rPr>
          <w:rFonts w:eastAsiaTheme="minorEastAsia" w:cs="Times New Roman"/>
          <w:i/>
          <w:iCs/>
          <w:sz w:val="24"/>
        </w:rPr>
        <w:t>p</w:t>
      </w:r>
      <w:r w:rsidRPr="0091506C">
        <w:rPr>
          <w:rFonts w:eastAsiaTheme="minorEastAsia" w:cs="Times New Roman"/>
          <w:sz w:val="24"/>
        </w:rPr>
        <w:t xml:space="preserve"> &lt; .001). Since negative emotion has a strong negative impact on well-being (Male </w:t>
      </w:r>
      <w:r w:rsidRPr="0091506C">
        <w:rPr>
          <w:rFonts w:eastAsiaTheme="minorEastAsia" w:cs="Times New Roman"/>
          <w:i/>
          <w:iCs/>
          <w:sz w:val="24"/>
        </w:rPr>
        <w:t>β</w:t>
      </w:r>
      <w:r w:rsidRPr="0091506C">
        <w:rPr>
          <w:rFonts w:eastAsiaTheme="minorEastAsia" w:cs="Times New Roman"/>
          <w:sz w:val="24"/>
        </w:rPr>
        <w:t xml:space="preserve"> = -0.255, </w:t>
      </w:r>
      <w:r w:rsidRPr="0091506C">
        <w:rPr>
          <w:rFonts w:eastAsiaTheme="minorEastAsia" w:cs="Times New Roman"/>
          <w:i/>
          <w:iCs/>
          <w:sz w:val="24"/>
        </w:rPr>
        <w:t>p</w:t>
      </w:r>
      <w:r w:rsidRPr="0091506C">
        <w:rPr>
          <w:rFonts w:eastAsiaTheme="minorEastAsia" w:cs="Times New Roman"/>
          <w:sz w:val="24"/>
        </w:rPr>
        <w:t xml:space="preserve"> &lt; .001), the reduction of such emotions effectively elevates overall happiness. Bootstrap mediation analyses further confirmed that the 95% confidence intervals for both the social interaction and emotional pathways do not include zero, indicating statistically robust and significant mediating effects. This outcome strongly supports the theoretical hypothesis that height functions as visual capital, yielding psychological fulfillment and social recognition through everyday micro-interactions, rather than merely serving as a tool for economic productivity.</w:t>
      </w:r>
    </w:p>
    <w:p w14:paraId="0B195BE5" w14:textId="77777777" w:rsidR="00877F6F" w:rsidRPr="00116566" w:rsidRDefault="00877F6F" w:rsidP="00116566">
      <w:pPr>
        <w:rPr>
          <w:rFonts w:eastAsiaTheme="minorEastAsia" w:cs="Times New Roman"/>
          <w:sz w:val="24"/>
        </w:rPr>
      </w:pPr>
    </w:p>
    <w:p w14:paraId="66E7244D" w14:textId="5584FC60" w:rsidR="00877F6F" w:rsidRDefault="00877F6F" w:rsidP="00877F6F">
      <w:pPr>
        <w:pStyle w:val="ad"/>
        <w:numPr>
          <w:ilvl w:val="0"/>
          <w:numId w:val="1"/>
        </w:numPr>
        <w:rPr>
          <w:rFonts w:eastAsia="Times New Roman" w:cs="Times New Roman"/>
          <w:b/>
          <w:sz w:val="28"/>
          <w:szCs w:val="28"/>
        </w:rPr>
      </w:pPr>
      <w:r>
        <w:rPr>
          <w:rFonts w:eastAsia="Times New Roman" w:cs="Times New Roman"/>
          <w:b/>
          <w:sz w:val="28"/>
          <w:szCs w:val="28"/>
        </w:rPr>
        <w:t>Conclusion</w:t>
      </w:r>
    </w:p>
    <w:p w14:paraId="65AB1D64" w14:textId="77777777" w:rsidR="0091506C" w:rsidRPr="0091506C" w:rsidRDefault="0091506C" w:rsidP="00116566">
      <w:pPr>
        <w:ind w:firstLineChars="200" w:firstLine="480"/>
        <w:rPr>
          <w:rFonts w:eastAsia="Times New Roman" w:cs="Times New Roman"/>
          <w:sz w:val="24"/>
        </w:rPr>
      </w:pPr>
      <w:r w:rsidRPr="0091506C">
        <w:rPr>
          <w:rFonts w:eastAsia="Times New Roman" w:cs="Times New Roman"/>
          <w:sz w:val="24"/>
        </w:rPr>
        <w:t>Through a large-sample empirical analysis, this study not only confirms the positive association between height and well-being but, more significantly, offers a novel interpretation of the mechanism underpinning this relationship from an interactive social science perspective.</w:t>
      </w:r>
    </w:p>
    <w:p w14:paraId="65FAE9A3" w14:textId="77777777" w:rsidR="0091506C" w:rsidRPr="0091506C" w:rsidRDefault="0091506C" w:rsidP="00116566">
      <w:pPr>
        <w:ind w:firstLineChars="200" w:firstLine="480"/>
        <w:rPr>
          <w:rFonts w:eastAsia="Times New Roman" w:cs="Times New Roman"/>
          <w:sz w:val="24"/>
        </w:rPr>
      </w:pPr>
      <w:r w:rsidRPr="0091506C">
        <w:rPr>
          <w:rFonts w:eastAsia="Times New Roman" w:cs="Times New Roman"/>
          <w:sz w:val="24"/>
        </w:rPr>
        <w:t>First, the findings support the theoretical hypothesis of height as visual capital (Hakim, 2010). Within the micro-interaction order of modern society, height functions not merely as a biological proxy for health but as a highly visible social signal. Empirical results demonstrate that even after controlling for traditional forms of capital—such as income, education, and health—height exhibits a robust net effect on individual life satisfaction. This finding challenges earlier interpretations that centered solely on the height wage premium, indicating that the well-being of taller individuals does not stem entirely from material wealth accumulation. Rather, it partially derives from the inherent respect and attention they receive in daily social interactions due to their physical advantage. This offers a new micro-level perspective for understanding the Easterlin Paradox (Haught et al., 2015), suggesting that relative status in physical appearance may be just as critical as relative income.</w:t>
      </w:r>
    </w:p>
    <w:p w14:paraId="2AAA7E69" w14:textId="3F2980A3" w:rsidR="0091506C" w:rsidRPr="0091506C" w:rsidRDefault="0091506C" w:rsidP="00116566">
      <w:pPr>
        <w:ind w:firstLineChars="200" w:firstLine="480"/>
        <w:rPr>
          <w:rFonts w:eastAsia="Times New Roman" w:cs="Times New Roman"/>
          <w:sz w:val="24"/>
        </w:rPr>
      </w:pPr>
      <w:r w:rsidRPr="0091506C">
        <w:rPr>
          <w:rFonts w:eastAsia="Times New Roman" w:cs="Times New Roman"/>
          <w:sz w:val="24"/>
        </w:rPr>
        <w:t xml:space="preserve">Second, the path analysis within the </w:t>
      </w:r>
      <w:r w:rsidR="00116566">
        <w:rPr>
          <w:rFonts w:eastAsia="Times New Roman" w:cs="Times New Roman"/>
          <w:sz w:val="24"/>
        </w:rPr>
        <w:t>SEM</w:t>
      </w:r>
      <w:r w:rsidRPr="0091506C">
        <w:rPr>
          <w:rFonts w:eastAsia="Times New Roman" w:cs="Times New Roman"/>
          <w:sz w:val="24"/>
        </w:rPr>
        <w:t xml:space="preserve"> elucidates the core mechanism of the interaction ritual chain in generating well-being. Research indicates that the quality of social interactions and emotional experiences play a crucial mediating role in the influence of height on happiness. Consistent with Collins' (2004) theory, taller individuals often leverage their visual advantage to occupy the center of attention or dominant positions in face-to-face micro-interactions. This </w:t>
      </w:r>
      <w:r w:rsidRPr="0091506C">
        <w:rPr>
          <w:rFonts w:eastAsia="Times New Roman" w:cs="Times New Roman"/>
          <w:sz w:val="24"/>
        </w:rPr>
        <w:lastRenderedPageBreak/>
        <w:t>interactive advantage reduces the transaction costs of establishing trust, making them more likely to receive high-quality interpersonal feedback (</w:t>
      </w:r>
      <w:proofErr w:type="spellStart"/>
      <w:r w:rsidRPr="0091506C">
        <w:rPr>
          <w:rFonts w:eastAsia="Times New Roman" w:cs="Times New Roman"/>
          <w:sz w:val="24"/>
        </w:rPr>
        <w:t>Stulp</w:t>
      </w:r>
      <w:proofErr w:type="spellEnd"/>
      <w:r w:rsidRPr="0091506C">
        <w:rPr>
          <w:rFonts w:eastAsia="Times New Roman" w:cs="Times New Roman"/>
          <w:sz w:val="24"/>
        </w:rPr>
        <w:t xml:space="preserve"> et al., 2015). Such successful micro-level interactions become internalized, manifesting as reduced negative emotional experiences—such as diminished depression and loneliness—and a greater accumulation of emotional energy, which ultimately crystallizes into overall life satisfaction. Conversely, shorter individuals may face heightened risks of marginalization within interaction rituals, leading to the depletion of emotional energy.</w:t>
      </w:r>
    </w:p>
    <w:p w14:paraId="762CC2F3" w14:textId="108D8724" w:rsidR="00877F6F" w:rsidRDefault="0091506C" w:rsidP="00116566">
      <w:pPr>
        <w:ind w:firstLineChars="200" w:firstLine="480"/>
        <w:rPr>
          <w:rFonts w:eastAsia="Times New Roman" w:cs="Times New Roman"/>
          <w:b/>
          <w:sz w:val="24"/>
        </w:rPr>
      </w:pPr>
      <w:r w:rsidRPr="0091506C">
        <w:rPr>
          <w:rFonts w:eastAsia="Times New Roman" w:cs="Times New Roman"/>
          <w:sz w:val="24"/>
        </w:rPr>
        <w:t>Finally, the findings on gender heterogeneity further corroborate the social construction of body image. The linear returns on male height align with society's unidirectional expectation of the male protector role. In contrast, the inverted U-shaped effect observed in females reveals the dual constraints of patriarchal aesthetics on women's bodies: women are expected to possess favorable physical attributes to maintain attractiveness yet are simultaneously restricted from projecting a physically imposing presence that might be perceived as oppressive (Hentschel et al., 2019). These gendered bodily norms subtly shape the interactive experiences and psychological well-being of different groups. In summary, the happiness effect of height is a product of the micro-level interaction between individual physiological endowment and macro-level societal norms. Future social policies should not only focus on economic distribution but also strive to dismantle appearance-based stereotypes. By fostering a more inclusive and equitable social environment, society can enhance the mental health of all residents, particularly those from physically disadvantaged groups.</w:t>
      </w:r>
    </w:p>
    <w:p w14:paraId="2E3FEE39" w14:textId="77777777" w:rsidR="00877F6F" w:rsidRDefault="00877F6F" w:rsidP="00877F6F">
      <w:pPr>
        <w:rPr>
          <w:rFonts w:eastAsia="Times New Roman" w:cs="Times New Roman"/>
          <w:b/>
          <w:sz w:val="24"/>
        </w:rPr>
      </w:pPr>
    </w:p>
    <w:p w14:paraId="65A2C39E" w14:textId="3D51598A" w:rsidR="00877F6F" w:rsidRPr="0091506C" w:rsidRDefault="00877F6F" w:rsidP="0091506C">
      <w:pPr>
        <w:widowControl/>
        <w:spacing w:after="240"/>
        <w:rPr>
          <w:rFonts w:ascii="Times New Roman Bold" w:eastAsia="Times New Roman" w:hAnsi="Times New Roman Bold" w:cs="Times New Roman Bold"/>
          <w:b/>
          <w:sz w:val="24"/>
        </w:rPr>
      </w:pPr>
      <w:r w:rsidRPr="0091506C">
        <w:rPr>
          <w:rFonts w:ascii="Times New Roman Bold" w:eastAsia="Times New Roman" w:hAnsi="Times New Roman Bold" w:cs="Times New Roman Bold"/>
          <w:b/>
          <w:sz w:val="24"/>
        </w:rPr>
        <w:t>Acknowledgments</w:t>
      </w:r>
    </w:p>
    <w:p w14:paraId="5854EE40" w14:textId="5FF76EFB" w:rsidR="00877F6F" w:rsidRDefault="0091506C" w:rsidP="00116566">
      <w:pPr>
        <w:ind w:firstLineChars="200" w:firstLine="480"/>
        <w:rPr>
          <w:rFonts w:eastAsia="Times New Roman" w:cs="Times New Roman"/>
          <w:sz w:val="24"/>
        </w:rPr>
      </w:pPr>
      <w:r w:rsidRPr="0091506C">
        <w:rPr>
          <w:rFonts w:eastAsia="Times New Roman" w:cs="Times New Roman"/>
          <w:sz w:val="24"/>
        </w:rPr>
        <w:t>We are grateful to the Institute of Social Science Survey (ISSS) of Peking University for providing the data from the China Family Panel Studies (CFPS). We are also grateful to all respondents who participated in this study.</w:t>
      </w:r>
    </w:p>
    <w:p w14:paraId="4D45024A" w14:textId="77777777" w:rsidR="00877F6F" w:rsidRDefault="00877F6F" w:rsidP="00877F6F">
      <w:pPr>
        <w:rPr>
          <w:rFonts w:eastAsia="Times New Roman" w:cs="Times New Roman"/>
          <w:sz w:val="24"/>
        </w:rPr>
      </w:pPr>
    </w:p>
    <w:p w14:paraId="6B75A014" w14:textId="49046093" w:rsidR="00877F6F" w:rsidRPr="0091506C" w:rsidRDefault="00877F6F" w:rsidP="0091506C">
      <w:pPr>
        <w:widowControl/>
        <w:spacing w:after="240"/>
        <w:rPr>
          <w:rFonts w:ascii="Times New Roman Bold" w:eastAsia="Times New Roman" w:hAnsi="Times New Roman Bold" w:cs="Times New Roman Bold"/>
          <w:b/>
          <w:sz w:val="24"/>
        </w:rPr>
      </w:pPr>
      <w:r w:rsidRPr="0091506C">
        <w:rPr>
          <w:rFonts w:ascii="Times New Roman Bold" w:eastAsia="Times New Roman" w:hAnsi="Times New Roman Bold" w:cs="Times New Roman Bold"/>
          <w:b/>
          <w:sz w:val="24"/>
        </w:rPr>
        <w:t>Funding</w:t>
      </w:r>
    </w:p>
    <w:p w14:paraId="4012556C" w14:textId="77777777" w:rsidR="0091506C" w:rsidRDefault="0091506C" w:rsidP="00116566">
      <w:pPr>
        <w:widowControl/>
        <w:spacing w:before="100" w:beforeAutospacing="1" w:after="100" w:afterAutospacing="1"/>
        <w:ind w:firstLineChars="200" w:firstLine="480"/>
        <w:rPr>
          <w:rFonts w:cs="Times New Roman"/>
          <w:sz w:val="24"/>
        </w:rPr>
      </w:pPr>
      <w:r w:rsidRPr="00164510">
        <w:rPr>
          <w:rFonts w:cs="Times New Roman"/>
          <w:sz w:val="24"/>
        </w:rPr>
        <w:t>There is no fundings for this work.</w:t>
      </w:r>
    </w:p>
    <w:p w14:paraId="1CAFC1A3" w14:textId="7F272E96" w:rsidR="00877F6F" w:rsidRDefault="00877F6F" w:rsidP="00877F6F">
      <w:pPr>
        <w:rPr>
          <w:rFonts w:ascii="Times New Roman Bold" w:eastAsia="宋体" w:hAnsi="Times New Roman Bold" w:cs="Times New Roman Bold"/>
          <w:b/>
          <w:sz w:val="24"/>
        </w:rPr>
      </w:pPr>
      <w:r>
        <w:rPr>
          <w:rFonts w:ascii="Times New Roman Bold" w:eastAsia="Times New Roman" w:hAnsi="Times New Roman Bold" w:cs="Times New Roman Bold"/>
          <w:b/>
          <w:sz w:val="24"/>
        </w:rPr>
        <w:t>References</w:t>
      </w:r>
    </w:p>
    <w:p w14:paraId="57B2FF3F"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Blanchflower, D. G., &amp; Oswald, A. J. (2008). Is well-being U-shaped over the life cycle? Social Science &amp; Medicine, 66(8), 1733–1749.</w:t>
      </w:r>
    </w:p>
    <w:p w14:paraId="08F6EFC1"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proofErr w:type="spellStart"/>
      <w:r w:rsidRPr="004F7ED3">
        <w:rPr>
          <w:rFonts w:ascii="Times New Roman Regular" w:eastAsiaTheme="minorEastAsia" w:hAnsi="Times New Roman Regular" w:cs="Times New Roman Regular"/>
        </w:rPr>
        <w:t>Bossavie</w:t>
      </w:r>
      <w:proofErr w:type="spellEnd"/>
      <w:r w:rsidRPr="004F7ED3">
        <w:rPr>
          <w:rFonts w:ascii="Times New Roman Regular" w:eastAsiaTheme="minorEastAsia" w:hAnsi="Times New Roman Regular" w:cs="Times New Roman Regular"/>
        </w:rPr>
        <w:t>, L., Alderman, H., Giles, J., &amp; Mete, C. (2021). The effect of height on earnings: Is stature just a proxy for cognitive and non-cognitive skills? Economics &amp; Human Biology, 43, 101046.</w:t>
      </w:r>
    </w:p>
    <w:p w14:paraId="045866C1"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Carrieri, V., &amp; De Paola, M. (2012). Height and subjective well-being in Italy. Economics &amp; Human Biology, 10(3), 289–298.</w:t>
      </w:r>
    </w:p>
    <w:p w14:paraId="4E6AB0F6"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Case, A., &amp; Paxson, C. (2008). Height, health, and cognitive function at older ages. American Economic Review, 98(2), 463–467.</w:t>
      </w:r>
    </w:p>
    <w:p w14:paraId="6E13A5B5"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Collins, R. (2004). Interaction ritual chains. Princeton University Press.</w:t>
      </w:r>
    </w:p>
    <w:p w14:paraId="02C8F084" w14:textId="5C1D4C2A"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Diener, E. (1984). Subjective well-being. Psychological Bulletin, 95(3), 542.</w:t>
      </w:r>
    </w:p>
    <w:p w14:paraId="71BFB0D2"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Easterlin, R. A. (1974). Does economic growth improve the human lot? Some empirical evidence. In Nations and households in economic growth (pp. 89–125). Elsevier.</w:t>
      </w:r>
    </w:p>
    <w:p w14:paraId="61EF6352"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Hakim, C. (2010). Erotic capital. European Sociological Review, 26(5), 499–518.</w:t>
      </w:r>
    </w:p>
    <w:p w14:paraId="37C23B73"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lastRenderedPageBreak/>
        <w:t>Haught, H. M., Rose, J., Geers, A., &amp; Brown, J. A. (2015). Subjective social status and well-being: The role of referent abstraction. The Journal of Social Psychology, 155(4), 356–369.</w:t>
      </w:r>
    </w:p>
    <w:p w14:paraId="316F6B84"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Hentschel, T., Heilman, M. E., &amp; Peus, C. V. (2019). The multiple dimensions of gender stereotypes: A current look at men’s and women’s characterizations of others and themselves. Frontiers in Psychology, 10, 11–30.</w:t>
      </w:r>
    </w:p>
    <w:p w14:paraId="1A7C7E66"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Hu, L., &amp; Bentler, P. M. (1999). Cutoff criteria for fit indexes in covariance structure analysis: Conventional criteria versus new alternatives. Structural Equation Modeling: A Multidisciplinary Journal, 6(1), 1–55.</w:t>
      </w:r>
    </w:p>
    <w:p w14:paraId="3509C18F"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Krueger, A. B., &amp; Schkade, D. A. (2008). The reliability of subjective well-being measures. Journal of Public Economics, 92(8–9), 1833–1845.</w:t>
      </w:r>
    </w:p>
    <w:p w14:paraId="52534EC2"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National Health Commission of the People’s Republic of China. (2020). Report on nutrition and chronic disease status of Chinese residents. The State Council Information Office.</w:t>
      </w:r>
    </w:p>
    <w:p w14:paraId="61015113"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Preacher, K. J., &amp; Hayes, A. F. (2008). Asymptotic and resampling strategies for assessing and comparing indirect effects in multiple mediator models. Behavior Research Methods, 40(3), 879–891.</w:t>
      </w:r>
    </w:p>
    <w:p w14:paraId="0A9035A0"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Putnam, R. D. (2000). Bowling alone: America’s declining social capital. In Culture and politics: A reader (pp. 223–234). Springer.</w:t>
      </w:r>
    </w:p>
    <w:p w14:paraId="5965E7EE"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Radloff, L. S. (1977). The CES-D scale: A self-report depression scale for research in the general population. Applied Psychological Measurement, 1(3), 385–401.</w:t>
      </w:r>
    </w:p>
    <w:p w14:paraId="357F8721" w14:textId="75F53C75"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Shilling, C. (2012). The body and social theory.</w:t>
      </w:r>
    </w:p>
    <w:p w14:paraId="786FC584"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Spence, M. (1973). Job market signaling. The Quarterly Journal of Economics, 87(3), 355–376.</w:t>
      </w:r>
    </w:p>
    <w:p w14:paraId="72F9528F"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proofErr w:type="spellStart"/>
      <w:r w:rsidRPr="004F7ED3">
        <w:rPr>
          <w:rFonts w:ascii="Times New Roman Regular" w:eastAsiaTheme="minorEastAsia" w:hAnsi="Times New Roman Regular" w:cs="Times New Roman Regular"/>
        </w:rPr>
        <w:t>Stulp</w:t>
      </w:r>
      <w:proofErr w:type="spellEnd"/>
      <w:r w:rsidRPr="004F7ED3">
        <w:rPr>
          <w:rFonts w:ascii="Times New Roman Regular" w:eastAsiaTheme="minorEastAsia" w:hAnsi="Times New Roman Regular" w:cs="Times New Roman Regular"/>
        </w:rPr>
        <w:t xml:space="preserve">, G., </w:t>
      </w:r>
      <w:proofErr w:type="spellStart"/>
      <w:r w:rsidRPr="004F7ED3">
        <w:rPr>
          <w:rFonts w:ascii="Times New Roman Regular" w:eastAsiaTheme="minorEastAsia" w:hAnsi="Times New Roman Regular" w:cs="Times New Roman Regular"/>
        </w:rPr>
        <w:t>Buunk</w:t>
      </w:r>
      <w:proofErr w:type="spellEnd"/>
      <w:r w:rsidRPr="004F7ED3">
        <w:rPr>
          <w:rFonts w:ascii="Times New Roman Regular" w:eastAsiaTheme="minorEastAsia" w:hAnsi="Times New Roman Regular" w:cs="Times New Roman Regular"/>
        </w:rPr>
        <w:t>, A. P., Verhulst, S., &amp; Pollet, T. V. (2015). Human height is positively related to interpersonal dominance in dyadic interactions. PLOS ONE, 10(2), e0117860.</w:t>
      </w:r>
    </w:p>
    <w:p w14:paraId="61E130A8"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Swami, V., Furnham, A., Balakumar, N., Williams, C., Canaway, K., &amp; Stanistreet, D. (2008). Factors influencing preferences for height: A replication and extension. Personality and Individual Differences, 45(5), 395–400.</w:t>
      </w:r>
    </w:p>
    <w:p w14:paraId="17148EDA" w14:textId="77777777" w:rsidR="004F7ED3" w:rsidRPr="004F7ED3" w:rsidRDefault="004F7ED3" w:rsidP="004F7ED3">
      <w:pPr>
        <w:pStyle w:val="a5"/>
        <w:widowControl/>
        <w:numPr>
          <w:ilvl w:val="0"/>
          <w:numId w:val="4"/>
        </w:numPr>
        <w:adjustRightInd w:val="0"/>
        <w:spacing w:beforeAutospacing="0" w:afterAutospacing="0"/>
        <w:ind w:left="480" w:hangingChars="200" w:hanging="480"/>
        <w:mirrorIndents/>
        <w:rPr>
          <w:rFonts w:ascii="Times New Roman Regular" w:eastAsiaTheme="minorEastAsia" w:hAnsi="Times New Roman Regular" w:cs="Times New Roman Regular"/>
        </w:rPr>
      </w:pPr>
      <w:r w:rsidRPr="004F7ED3">
        <w:rPr>
          <w:rFonts w:ascii="Times New Roman Regular" w:eastAsiaTheme="minorEastAsia" w:hAnsi="Times New Roman Regular" w:cs="Times New Roman Regular"/>
        </w:rPr>
        <w:t>Yancey, G., &amp; Emerson, M. O. (2016). Does height matter? An examination of height preferences in romantic coupling. Journal of Family Issues, 37(1), 53–73.</w:t>
      </w:r>
    </w:p>
    <w:p w14:paraId="66466204" w14:textId="77777777" w:rsidR="003E3C20" w:rsidRPr="004F7ED3" w:rsidRDefault="003E3C20">
      <w:pPr>
        <w:pStyle w:val="a5"/>
        <w:widowControl/>
        <w:spacing w:beforeAutospacing="0" w:after="240" w:afterAutospacing="0" w:line="280" w:lineRule="exact"/>
        <w:ind w:left="480" w:hangingChars="200" w:hanging="480"/>
        <w:jc w:val="both"/>
        <w:rPr>
          <w:rFonts w:ascii="Times New Roman Regular" w:eastAsiaTheme="minorEastAsia" w:hAnsi="Times New Roman Regular" w:cs="Times New Roman Regular"/>
        </w:rPr>
      </w:pPr>
    </w:p>
    <w:sectPr w:rsidR="003E3C20" w:rsidRPr="004F7ED3">
      <w:footerReference w:type="default" r:id="rId10"/>
      <w:headerReference w:type="first" r:id="rId11"/>
      <w:footerReference w:type="first" r:id="rId12"/>
      <w:pgSz w:w="11906" w:h="16838"/>
      <w:pgMar w:top="1043" w:right="1236" w:bottom="1043" w:left="1236" w:header="850" w:footer="567" w:gutter="0"/>
      <w:pgNumType w:start="1"/>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CADB1A" w14:textId="77777777" w:rsidR="006D458B" w:rsidRDefault="006D458B">
      <w:r>
        <w:separator/>
      </w:r>
    </w:p>
  </w:endnote>
  <w:endnote w:type="continuationSeparator" w:id="0">
    <w:p w14:paraId="79DB7673" w14:textId="77777777" w:rsidR="006D458B" w:rsidRDefault="006D4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t">
    <w:altName w:val="Calibri"/>
    <w:panose1 w:val="020B0604020202020204"/>
    <w:charset w:val="00"/>
    <w:family w:val="auto"/>
    <w:pitch w:val="default"/>
  </w:font>
  <w:font w:name=".sf ns">
    <w:altName w:val="Calibri"/>
    <w:panose1 w:val="020B0604020202020204"/>
    <w:charset w:val="00"/>
    <w:family w:val="auto"/>
    <w:pitch w:val="default"/>
    <w:sig w:usb0="E0002AEF" w:usb1="C0007841" w:usb2="00000009" w:usb3="00000000" w:csb0="400001FF" w:csb1="FFFF0000"/>
  </w:font>
  <w:font w:name="PingFang SC">
    <w:panose1 w:val="020B0400000000000000"/>
    <w:charset w:val="86"/>
    <w:family w:val="swiss"/>
    <w:pitch w:val="variable"/>
    <w:sig w:usb0="A00002FF" w:usb1="7ACFFDFB" w:usb2="00000017" w:usb3="00000000" w:csb0="00040001" w:csb1="00000000"/>
  </w:font>
  <w:font w:name="Arial Bold">
    <w:altName w:val="Arial"/>
    <w:panose1 w:val="020B0604020202020204"/>
    <w:charset w:val="00"/>
    <w:family w:val="auto"/>
    <w:pitch w:val="default"/>
    <w:sig w:usb0="E0000AFF" w:usb1="00007843" w:usb2="00000001" w:usb3="00000000" w:csb0="400001BF" w:csb1="DFF70000"/>
  </w:font>
  <w:font w:name="Times New Roman Bold">
    <w:altName w:val="Times New Roman"/>
    <w:panose1 w:val="020B0604020202020204"/>
    <w:charset w:val="00"/>
    <w:family w:val="auto"/>
    <w:pitch w:val="default"/>
    <w:sig w:usb0="E0002AEF" w:usb1="C0007841" w:usb2="00000009" w:usb3="00000000" w:csb0="400001FF" w:csb1="FFFF0000"/>
  </w:font>
  <w:font w:name="Times New Roman Italic">
    <w:altName w:val="Times New Roman"/>
    <w:panose1 w:val="020B0604020202020204"/>
    <w:charset w:val="00"/>
    <w:family w:val="auto"/>
    <w:pitch w:val="default"/>
    <w:sig w:usb0="E0002AEF" w:usb1="C0007841" w:usb2="00000009" w:usb3="00000000" w:csb0="400001FF" w:csb1="FFFF0000"/>
  </w:font>
  <w:font w:name="微软雅黑">
    <w:altName w:val="Microsoft YaHei"/>
    <w:panose1 w:val="020B0503020204020204"/>
    <w:charset w:val="86"/>
    <w:family w:val="swiss"/>
    <w:pitch w:val="variable"/>
    <w:sig w:usb0="80000287" w:usb1="2ACF3C50" w:usb2="00000016" w:usb3="00000000" w:csb0="0004001F" w:csb1="00000000"/>
  </w:font>
  <w:font w:name="Times New Roman Regular">
    <w:altName w:val="Times New Roman"/>
    <w:panose1 w:val="020B0604020202020204"/>
    <w:charset w:val="00"/>
    <w:family w:val="auto"/>
    <w:pitch w:val="default"/>
    <w:sig w:usb0="E0002AEF" w:usb1="C0007841" w:usb2="00000009" w:usb3="00000000" w:csb0="400001FF" w:csb1="FFFF0000"/>
  </w:font>
  <w:font w:name="Bahnschrift">
    <w:panose1 w:val="020B0502040204020203"/>
    <w:charset w:val="00"/>
    <w:family w:val="swiss"/>
    <w:pitch w:val="variable"/>
    <w:sig w:usb0="A00002C7" w:usb1="00000002" w:usb2="00000000" w:usb3="00000000" w:csb0="0000019F" w:csb1="00000000"/>
  </w:font>
  <w:font w:name="Arial Regular">
    <w:altName w:val="Arial"/>
    <w:panose1 w:val="020B0604020202020204"/>
    <w:charset w:val="00"/>
    <w:family w:val="auto"/>
    <w:pitch w:val="default"/>
    <w:sig w:usb0="E0000AFF" w:usb1="00007843" w:usb2="00000001" w:usb3="00000000" w:csb0="400001BF" w:csb1="DFF7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17E6F" w14:textId="0C0B8128" w:rsidR="003E3C20" w:rsidRDefault="003E3C20">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7456" w14:textId="65D747B1" w:rsidR="003E3C20" w:rsidRDefault="00D12FB6">
    <w:pPr>
      <w:pStyle w:val="a3"/>
      <w:rPr>
        <w:rFonts w:eastAsia="微软雅黑" w:cs="Times New Roman" w:hint="eastAsia"/>
        <w:b/>
        <w:bCs/>
        <w:sz w:val="16"/>
        <w:szCs w:val="16"/>
      </w:rPr>
    </w:pPr>
    <w:r>
      <w:rPr>
        <w:rFonts w:cs="Times New Roman"/>
        <w:b/>
        <w:bCs/>
        <w:sz w:val="16"/>
        <w:szCs w:val="16"/>
      </w:rPr>
      <w:t>C</w:t>
    </w:r>
    <w:r>
      <w:rPr>
        <w:rFonts w:ascii="Times New Roman Bold" w:hAnsi="Times New Roman Bold" w:cs="Times New Roman Bold"/>
        <w:b/>
        <w:bCs/>
        <w:sz w:val="16"/>
        <w:szCs w:val="16"/>
      </w:rPr>
      <w:t>itati</w:t>
    </w:r>
    <w:r>
      <w:rPr>
        <w:rFonts w:cs="Times New Roman"/>
        <w:b/>
        <w:bCs/>
        <w:sz w:val="16"/>
        <w:szCs w:val="16"/>
      </w:rPr>
      <w:t>on</w:t>
    </w:r>
    <w:r>
      <w:rPr>
        <w:rFonts w:eastAsia="微软雅黑" w:cs="Times New Roman"/>
        <w:b/>
        <w:bCs/>
        <w:sz w:val="16"/>
        <w:szCs w:val="16"/>
      </w:rPr>
      <w:t>：</w:t>
    </w:r>
    <w:r w:rsidR="00C40555" w:rsidRPr="00C40555">
      <w:rPr>
        <w:rFonts w:eastAsia="微软雅黑" w:cs="Times New Roman"/>
        <w:b/>
        <w:bCs/>
        <w:sz w:val="16"/>
        <w:szCs w:val="16"/>
      </w:rPr>
      <w:t>Zhan, Z. (2026). Height as a social signal: How body shape influences subjective well-being through social interaction. Journal of Adaptive Learning and Psychological Growth, 1(1).</w:t>
    </w:r>
    <w:r w:rsidR="00A262B7">
      <w:rPr>
        <w:rFonts w:eastAsia="微软雅黑" w:cs="Times New Roman" w:hint="eastAsia"/>
        <w:b/>
        <w:bCs/>
        <w:sz w:val="16"/>
        <w:szCs w:val="16"/>
      </w:rPr>
      <w:t xml:space="preserve"> 27-35.</w:t>
    </w:r>
  </w:p>
  <w:p w14:paraId="1103BAC5" w14:textId="77777777" w:rsidR="00984AD3" w:rsidRDefault="00984AD3" w:rsidP="00984AD3">
    <w:pPr>
      <w:pStyle w:val="a3"/>
      <w:rPr>
        <w:rFonts w:eastAsia="微软雅黑" w:cs="Times New Roman"/>
        <w:b/>
        <w:bCs/>
        <w:sz w:val="16"/>
        <w:szCs w:val="16"/>
      </w:rPr>
    </w:pPr>
  </w:p>
  <w:p w14:paraId="65698E51" w14:textId="70BF4536" w:rsidR="003E3C20" w:rsidRDefault="00984AD3" w:rsidP="00984AD3">
    <w:pPr>
      <w:pStyle w:val="a3"/>
      <w:rPr>
        <w:color w:val="1E386B" w:themeColor="accent1" w:themeShade="80"/>
        <w:szCs w:val="18"/>
      </w:rPr>
    </w:pPr>
    <w:r w:rsidRPr="0091288D">
      <w:rPr>
        <w:rFonts w:eastAsia="微软雅黑" w:cs="Times New Roman"/>
        <w:b/>
        <w:bCs/>
        <w:sz w:val="16"/>
        <w:szCs w:val="16"/>
      </w:rPr>
      <w:t xml:space="preserve">The Authors. Published by J&amp;L Academic Group PLT. This is an open access article under the CC BY 4.0 license.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617FC" w14:textId="77777777" w:rsidR="006D458B" w:rsidRDefault="006D458B">
      <w:r>
        <w:separator/>
      </w:r>
    </w:p>
  </w:footnote>
  <w:footnote w:type="continuationSeparator" w:id="0">
    <w:p w14:paraId="27B3C9EE" w14:textId="77777777" w:rsidR="006D458B" w:rsidRDefault="006D4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4BBD4" w14:textId="39F65FB7" w:rsidR="003E3C20" w:rsidRDefault="00FE17CA">
    <w:r>
      <w:rPr>
        <w:noProof/>
      </w:rPr>
      <w:drawing>
        <wp:anchor distT="0" distB="0" distL="114300" distR="114300" simplePos="0" relativeHeight="251667456" behindDoc="1" locked="0" layoutInCell="1" allowOverlap="1" wp14:anchorId="50767724" wp14:editId="68E7E8AE">
          <wp:simplePos x="0" y="0"/>
          <wp:positionH relativeFrom="column">
            <wp:posOffset>5292454</wp:posOffset>
          </wp:positionH>
          <wp:positionV relativeFrom="paragraph">
            <wp:posOffset>106302</wp:posOffset>
          </wp:positionV>
          <wp:extent cx="699770" cy="933450"/>
          <wp:effectExtent l="0" t="0" r="0" b="6350"/>
          <wp:wrapTight wrapText="bothSides">
            <wp:wrapPolygon edited="0">
              <wp:start x="0" y="0"/>
              <wp:lineTo x="0" y="21453"/>
              <wp:lineTo x="21169" y="21453"/>
              <wp:lineTo x="21169" y="0"/>
              <wp:lineTo x="0" y="0"/>
            </wp:wrapPolygon>
          </wp:wrapTight>
          <wp:docPr id="14216020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02060" name="图片 1421602060"/>
                  <pic:cNvPicPr/>
                </pic:nvPicPr>
                <pic:blipFill>
                  <a:blip r:embed="rId1">
                    <a:extLst>
                      <a:ext uri="{28A0092B-C50C-407E-A947-70E740481C1C}">
                        <a14:useLocalDpi xmlns:a14="http://schemas.microsoft.com/office/drawing/2010/main" val="0"/>
                      </a:ext>
                    </a:extLst>
                  </a:blip>
                  <a:stretch>
                    <a:fillRect/>
                  </a:stretch>
                </pic:blipFill>
                <pic:spPr>
                  <a:xfrm>
                    <a:off x="0" y="0"/>
                    <a:ext cx="699770" cy="933450"/>
                  </a:xfrm>
                  <a:prstGeom prst="rect">
                    <a:avLst/>
                  </a:prstGeom>
                </pic:spPr>
              </pic:pic>
            </a:graphicData>
          </a:graphic>
          <wp14:sizeRelH relativeFrom="page">
            <wp14:pctWidth>0</wp14:pctWidth>
          </wp14:sizeRelH>
          <wp14:sizeRelV relativeFrom="page">
            <wp14:pctHeight>0</wp14:pctHeight>
          </wp14:sizeRelV>
        </wp:anchor>
      </w:drawing>
    </w:r>
    <w:r w:rsidR="006040C0">
      <w:rPr>
        <w:noProof/>
      </w:rPr>
      <w:drawing>
        <wp:anchor distT="0" distB="0" distL="114300" distR="114300" simplePos="0" relativeHeight="251665408" behindDoc="1" locked="0" layoutInCell="1" allowOverlap="1" wp14:anchorId="75FBFAC6" wp14:editId="1310D931">
          <wp:simplePos x="0" y="0"/>
          <wp:positionH relativeFrom="column">
            <wp:posOffset>-91440</wp:posOffset>
          </wp:positionH>
          <wp:positionV relativeFrom="paragraph">
            <wp:posOffset>104140</wp:posOffset>
          </wp:positionV>
          <wp:extent cx="873125" cy="1005205"/>
          <wp:effectExtent l="0" t="0" r="3175" b="0"/>
          <wp:wrapTight wrapText="bothSides">
            <wp:wrapPolygon edited="0">
              <wp:start x="0" y="0"/>
              <wp:lineTo x="0" y="21286"/>
              <wp:lineTo x="21364" y="21286"/>
              <wp:lineTo x="21364" y="0"/>
              <wp:lineTo x="0" y="0"/>
            </wp:wrapPolygon>
          </wp:wrapTight>
          <wp:docPr id="8516523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52391" name="图片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3125" cy="1005205"/>
                  </a:xfrm>
                  <a:prstGeom prst="rect">
                    <a:avLst/>
                  </a:prstGeom>
                </pic:spPr>
              </pic:pic>
            </a:graphicData>
          </a:graphic>
          <wp14:sizeRelH relativeFrom="margin">
            <wp14:pctWidth>0</wp14:pctWidth>
          </wp14:sizeRelH>
          <wp14:sizeRelV relativeFrom="margin">
            <wp14:pctHeight>0</wp14:pctHeight>
          </wp14:sizeRelV>
        </wp:anchor>
      </w:drawing>
    </w:r>
    <w:r w:rsidR="006040C0">
      <w:rPr>
        <w:noProof/>
      </w:rPr>
      <mc:AlternateContent>
        <mc:Choice Requires="wps">
          <w:drawing>
            <wp:anchor distT="0" distB="0" distL="114300" distR="114300" simplePos="0" relativeHeight="251661312" behindDoc="0" locked="0" layoutInCell="1" allowOverlap="1" wp14:anchorId="2F6CC6D2" wp14:editId="7286E33B">
              <wp:simplePos x="0" y="0"/>
              <wp:positionH relativeFrom="column">
                <wp:posOffset>-62865</wp:posOffset>
              </wp:positionH>
              <wp:positionV relativeFrom="page">
                <wp:posOffset>575854</wp:posOffset>
              </wp:positionV>
              <wp:extent cx="6115685" cy="0"/>
              <wp:effectExtent l="12700" t="12700" r="18415" b="12700"/>
              <wp:wrapNone/>
              <wp:docPr id="1" name="直接连接符 1"/>
              <wp:cNvGraphicFramePr/>
              <a:graphic xmlns:a="http://schemas.openxmlformats.org/drawingml/2006/main">
                <a:graphicData uri="http://schemas.microsoft.com/office/word/2010/wordprocessingShape">
                  <wps:wsp>
                    <wps:cNvCnPr/>
                    <wps:spPr>
                      <a:xfrm>
                        <a:off x="0" y="0"/>
                        <a:ext cx="6115685" cy="0"/>
                      </a:xfrm>
                      <a:prstGeom prst="line">
                        <a:avLst/>
                      </a:prstGeom>
                      <a:ln w="22225"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51459C47" id="直接连接符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4.95pt,45.35pt" to="476.6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" strokeweight="1.75pt">
              <v:stroke endcap="round"/>
              <w10:wrap anchory="page"/>
            </v:line>
          </w:pict>
        </mc:Fallback>
      </mc:AlternateContent>
    </w:r>
    <w:r w:rsidR="006040C0">
      <w:rPr>
        <w:rFonts w:ascii="Arial Bold" w:hAnsi="Arial Bold" w:cs="Arial Bold"/>
        <w:b/>
        <w:bCs/>
        <w:noProof/>
        <w:sz w:val="28"/>
        <w:szCs w:val="28"/>
      </w:rPr>
      <mc:AlternateContent>
        <mc:Choice Requires="wps">
          <w:drawing>
            <wp:anchor distT="0" distB="0" distL="114300" distR="114300" simplePos="0" relativeHeight="251664384" behindDoc="1" locked="0" layoutInCell="1" allowOverlap="1" wp14:anchorId="004A071B" wp14:editId="4F2D629E">
              <wp:simplePos x="0" y="0"/>
              <wp:positionH relativeFrom="column">
                <wp:posOffset>852170</wp:posOffset>
              </wp:positionH>
              <wp:positionV relativeFrom="paragraph">
                <wp:posOffset>95250</wp:posOffset>
              </wp:positionV>
              <wp:extent cx="4354195" cy="961390"/>
              <wp:effectExtent l="0" t="0" r="1905" b="4445"/>
              <wp:wrapNone/>
              <wp:docPr id="1466485545" name="矩形 7"/>
              <wp:cNvGraphicFramePr/>
              <a:graphic xmlns:a="http://schemas.openxmlformats.org/drawingml/2006/main">
                <a:graphicData uri="http://schemas.microsoft.com/office/word/2010/wordprocessingShape">
                  <wps:wsp>
                    <wps:cNvSpPr/>
                    <wps:spPr>
                      <a:xfrm>
                        <a:off x="0" y="0"/>
                        <a:ext cx="4354282" cy="961200"/>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96D82C9" id="矩形 7" o:spid="_x0000_s1026" style="position:absolute;margin-left:67.1pt;margin-top:7.5pt;width:342.85pt;height:75.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" fillcolor="#cfcdcd [2894]" stroked="f" strokeweight="1pt"/>
          </w:pict>
        </mc:Fallback>
      </mc:AlternateContent>
    </w:r>
  </w:p>
  <w:p w14:paraId="069689E3" w14:textId="77777777" w:rsidR="003E3C20" w:rsidRDefault="003E3C20">
    <w:pPr>
      <w:spacing w:line="300" w:lineRule="exact"/>
      <w:jc w:val="center"/>
      <w:rPr>
        <w:rFonts w:ascii="Arial Bold" w:hAnsi="Arial Bold" w:cs="Arial Bold"/>
        <w:b/>
        <w:bCs/>
        <w:sz w:val="28"/>
        <w:szCs w:val="28"/>
      </w:rPr>
    </w:pPr>
  </w:p>
  <w:p w14:paraId="6F9071CD" w14:textId="2C8D4499" w:rsidR="000A2A61" w:rsidRPr="002F4404" w:rsidRDefault="000A2A61" w:rsidP="000A2A61">
    <w:pPr>
      <w:spacing w:line="300" w:lineRule="exact"/>
      <w:jc w:val="center"/>
      <w:rPr>
        <w:rFonts w:ascii="Arial Bold" w:eastAsia="Bahnschrift" w:hAnsi="Arial Bold" w:cs="Arial Bold"/>
        <w:b/>
        <w:bCs/>
        <w:caps/>
        <w:color w:val="000000"/>
        <w:sz w:val="28"/>
        <w:szCs w:val="28"/>
      </w:rPr>
    </w:pPr>
    <w:r w:rsidRPr="002F4404">
      <w:rPr>
        <w:rFonts w:ascii="Arial Bold" w:eastAsia="Bahnschrift" w:hAnsi="Arial Bold" w:cs="Arial Bold"/>
        <w:b/>
        <w:bCs/>
        <w:caps/>
        <w:color w:val="000000"/>
        <w:sz w:val="28"/>
        <w:szCs w:val="28"/>
      </w:rPr>
      <w:t>Journal of Adaptive Learning and Psychological Growth</w:t>
    </w:r>
  </w:p>
  <w:p w14:paraId="136ACA66" w14:textId="77777777" w:rsidR="000A2A61" w:rsidRDefault="000A2A61" w:rsidP="000A2A61">
    <w:pPr>
      <w:spacing w:line="300" w:lineRule="exact"/>
      <w:jc w:val="center"/>
      <w:rPr>
        <w:rFonts w:ascii="Arial Regular" w:eastAsia="Bahnschrift" w:hAnsi="Arial Regular" w:cs="Arial Regular"/>
        <w:smallCaps/>
        <w:color w:val="000000"/>
        <w:sz w:val="22"/>
        <w:szCs w:val="22"/>
      </w:rPr>
    </w:pPr>
    <w:r w:rsidRPr="00B3193F">
      <w:rPr>
        <w:rFonts w:ascii="Arial Regular" w:hAnsi="Arial Regular" w:cs="Arial Regular" w:hint="eastAsia"/>
        <w:sz w:val="18"/>
        <w:szCs w:val="18"/>
      </w:rPr>
      <w:t>202</w:t>
    </w:r>
    <w:r>
      <w:rPr>
        <w:rFonts w:ascii="Arial Regular" w:hAnsi="Arial Regular" w:cs="Arial Regular"/>
        <w:sz w:val="18"/>
        <w:szCs w:val="18"/>
      </w:rPr>
      <w:t>6</w:t>
    </w:r>
    <w:r w:rsidRPr="00B3193F">
      <w:rPr>
        <w:rFonts w:ascii="Arial Regular" w:hAnsi="Arial Regular" w:cs="Arial Regular" w:hint="eastAsia"/>
        <w:sz w:val="18"/>
        <w:szCs w:val="18"/>
      </w:rPr>
      <w:t xml:space="preserve"> </w:t>
    </w:r>
    <w:r w:rsidRPr="00B3193F">
      <w:rPr>
        <w:rFonts w:ascii="Arial Regular" w:hAnsi="Arial Regular" w:cs="Arial Regular"/>
        <w:sz w:val="18"/>
        <w:szCs w:val="18"/>
      </w:rPr>
      <w:t>Vol</w:t>
    </w:r>
    <w:r>
      <w:rPr>
        <w:rFonts w:ascii="Arial Regular" w:hAnsi="Arial Regular" w:cs="Arial Regular"/>
        <w:sz w:val="18"/>
        <w:szCs w:val="18"/>
      </w:rPr>
      <w:t>.</w:t>
    </w:r>
    <w:r w:rsidRPr="00B3193F">
      <w:rPr>
        <w:rFonts w:ascii="Arial Regular" w:hAnsi="Arial Regular" w:cs="Arial Regular" w:hint="eastAsia"/>
        <w:sz w:val="18"/>
        <w:szCs w:val="18"/>
      </w:rPr>
      <w:t xml:space="preserve"> </w:t>
    </w:r>
    <w:r>
      <w:rPr>
        <w:rFonts w:ascii="Arial Regular" w:hAnsi="Arial Regular" w:cs="Arial Regular"/>
        <w:sz w:val="18"/>
        <w:szCs w:val="18"/>
      </w:rPr>
      <w:t>1</w:t>
    </w:r>
    <w:r w:rsidRPr="00B3193F">
      <w:rPr>
        <w:rFonts w:ascii="Arial Regular" w:hAnsi="Arial Regular" w:cs="Arial Regular"/>
        <w:sz w:val="18"/>
        <w:szCs w:val="18"/>
      </w:rPr>
      <w:t>,</w:t>
    </w:r>
    <w:r>
      <w:rPr>
        <w:rFonts w:ascii="Arial Regular" w:hAnsi="Arial Regular" w:cs="Arial Regular"/>
        <w:sz w:val="18"/>
        <w:szCs w:val="18"/>
      </w:rPr>
      <w:t xml:space="preserve"> No. 1</w:t>
    </w:r>
  </w:p>
  <w:p w14:paraId="65E4A502" w14:textId="4181D320" w:rsidR="003E3C20" w:rsidRDefault="00D12FB6">
    <w:pPr>
      <w:pStyle w:val="a4"/>
    </w:pPr>
    <w:r>
      <w:rPr>
        <w:noProof/>
        <w:sz w:val="21"/>
      </w:rPr>
      <mc:AlternateContent>
        <mc:Choice Requires="wps">
          <w:drawing>
            <wp:anchor distT="0" distB="0" distL="114300" distR="114300" simplePos="0" relativeHeight="251662336" behindDoc="0" locked="0" layoutInCell="1" allowOverlap="1" wp14:anchorId="23D5A232" wp14:editId="27BDBC11">
              <wp:simplePos x="0" y="0"/>
              <wp:positionH relativeFrom="column">
                <wp:posOffset>-62865</wp:posOffset>
              </wp:positionH>
              <wp:positionV relativeFrom="page">
                <wp:posOffset>1669415</wp:posOffset>
              </wp:positionV>
              <wp:extent cx="6115685" cy="0"/>
              <wp:effectExtent l="6350" t="6350" r="6350" b="6350"/>
              <wp:wrapNone/>
              <wp:docPr id="3" name="直接连接符 3"/>
              <wp:cNvGraphicFramePr/>
              <a:graphic xmlns:a="http://schemas.openxmlformats.org/drawingml/2006/main">
                <a:graphicData uri="http://schemas.microsoft.com/office/word/2010/wordprocessingShape">
                  <wps:wsp>
                    <wps:cNvCnPr/>
                    <wps:spPr>
                      <a:xfrm>
                        <a:off x="0" y="0"/>
                        <a:ext cx="6115685" cy="0"/>
                      </a:xfrm>
                      <a:prstGeom prst="line">
                        <a:avLst/>
                      </a:prstGeom>
                      <a:ln w="6350" cap="rnd">
                        <a:solidFill>
                          <a:prstClr val="black"/>
                        </a:solidFill>
                        <a:round/>
                        <a:headEnd type="none" w="med" len="med"/>
                        <a:tailEnd type="none"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line w14:anchorId="002E3A4F" id="直接连接符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page" from="-4.95pt,131.45pt" to="476.6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" strokeweight=".5pt">
              <v:stroke endcap="round"/>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29EEFB"/>
    <w:multiLevelType w:val="singleLevel"/>
    <w:tmpl w:val="C329EEFB"/>
    <w:lvl w:ilvl="0">
      <w:start w:val="1"/>
      <w:numFmt w:val="decimal"/>
      <w:suff w:val="space"/>
      <w:lvlText w:val="[%1]."/>
      <w:lvlJc w:val="left"/>
      <w:pPr>
        <w:tabs>
          <w:tab w:val="left" w:pos="0"/>
        </w:tabs>
        <w:ind w:left="238"/>
      </w:pPr>
      <w:rPr>
        <w:rFonts w:hint="default"/>
      </w:rPr>
    </w:lvl>
  </w:abstractNum>
  <w:abstractNum w:abstractNumId="1" w15:restartNumberingAfterBreak="0">
    <w:nsid w:val="13222294"/>
    <w:multiLevelType w:val="hybridMultilevel"/>
    <w:tmpl w:val="8A02003C"/>
    <w:lvl w:ilvl="0" w:tplc="C329EEFB">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935231D"/>
    <w:multiLevelType w:val="multilevel"/>
    <w:tmpl w:val="2935231D"/>
    <w:lvl w:ilvl="0">
      <w:start w:val="1"/>
      <w:numFmt w:val="decimal"/>
      <w:lvlText w:val="%1."/>
      <w:lvlJc w:val="left"/>
      <w:pPr>
        <w:ind w:left="360" w:hanging="360"/>
      </w:pPr>
      <w:rPr>
        <w:rFonts w:hint="default"/>
        <w:b/>
        <w:bCs/>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34402BE"/>
    <w:multiLevelType w:val="multilevel"/>
    <w:tmpl w:val="DE54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038901">
    <w:abstractNumId w:val="2"/>
  </w:num>
  <w:num w:numId="2" w16cid:durableId="432820145">
    <w:abstractNumId w:val="0"/>
  </w:num>
  <w:num w:numId="3" w16cid:durableId="2056617478">
    <w:abstractNumId w:val="3"/>
  </w:num>
  <w:num w:numId="4" w16cid:durableId="21327431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FiMjg5OWVkYzUzMzdlYzg1NjY3NGI4NDk2MGI4N2QifQ=="/>
  </w:docVars>
  <w:rsids>
    <w:rsidRoot w:val="3FDB5E60"/>
    <w:rsid w:val="00AE585C"/>
    <w:rsid w:val="3FDB5E60"/>
    <w:rsid w:val="A7F6BEDD"/>
    <w:rsid w:val="AEC7F444"/>
    <w:rsid w:val="AF3B2F2E"/>
    <w:rsid w:val="AF67E311"/>
    <w:rsid w:val="AFBB40B3"/>
    <w:rsid w:val="B3DC48A6"/>
    <w:rsid w:val="B7DE0D6A"/>
    <w:rsid w:val="B7FF7299"/>
    <w:rsid w:val="BAAFB8AA"/>
    <w:rsid w:val="BBBF22D4"/>
    <w:rsid w:val="BDFF48F0"/>
    <w:rsid w:val="BF939117"/>
    <w:rsid w:val="BFA65C58"/>
    <w:rsid w:val="BFFB99C2"/>
    <w:rsid w:val="D6FB147E"/>
    <w:rsid w:val="D6FD744D"/>
    <w:rsid w:val="DBDFDAD7"/>
    <w:rsid w:val="DD5DA90A"/>
    <w:rsid w:val="DDDDD7D7"/>
    <w:rsid w:val="DE751F95"/>
    <w:rsid w:val="DFF79CD2"/>
    <w:rsid w:val="DFFEC095"/>
    <w:rsid w:val="DFFF17ED"/>
    <w:rsid w:val="E37F829B"/>
    <w:rsid w:val="E5FFAD1E"/>
    <w:rsid w:val="E7678AD9"/>
    <w:rsid w:val="EF8C4486"/>
    <w:rsid w:val="EF9F88D1"/>
    <w:rsid w:val="EFEC0484"/>
    <w:rsid w:val="EFF39400"/>
    <w:rsid w:val="F1AB3D55"/>
    <w:rsid w:val="F3AF2910"/>
    <w:rsid w:val="F47E8020"/>
    <w:rsid w:val="F5FE9B83"/>
    <w:rsid w:val="F6FFE4C6"/>
    <w:rsid w:val="F7FE1357"/>
    <w:rsid w:val="F9B713AD"/>
    <w:rsid w:val="F9DF0CBF"/>
    <w:rsid w:val="FA77601E"/>
    <w:rsid w:val="FBB9700A"/>
    <w:rsid w:val="FCD9BE07"/>
    <w:rsid w:val="FE776AC4"/>
    <w:rsid w:val="FE9F5FA6"/>
    <w:rsid w:val="FEE774AC"/>
    <w:rsid w:val="FF6F48A6"/>
    <w:rsid w:val="FF73FEB3"/>
    <w:rsid w:val="FF8BF6A9"/>
    <w:rsid w:val="FF8FFB5C"/>
    <w:rsid w:val="FFBF2744"/>
    <w:rsid w:val="FFF79F72"/>
    <w:rsid w:val="FFFAD6FB"/>
    <w:rsid w:val="FFFDF3B0"/>
    <w:rsid w:val="FFFF2604"/>
    <w:rsid w:val="FFFF6B71"/>
    <w:rsid w:val="FFFFE355"/>
    <w:rsid w:val="00034A11"/>
    <w:rsid w:val="0005508A"/>
    <w:rsid w:val="00061010"/>
    <w:rsid w:val="000623AA"/>
    <w:rsid w:val="00063C57"/>
    <w:rsid w:val="00073835"/>
    <w:rsid w:val="00076E3C"/>
    <w:rsid w:val="000A2A61"/>
    <w:rsid w:val="000C111B"/>
    <w:rsid w:val="000D4E26"/>
    <w:rsid w:val="000F39A6"/>
    <w:rsid w:val="00116566"/>
    <w:rsid w:val="00124840"/>
    <w:rsid w:val="00126E35"/>
    <w:rsid w:val="00136135"/>
    <w:rsid w:val="00161C88"/>
    <w:rsid w:val="00170398"/>
    <w:rsid w:val="00172713"/>
    <w:rsid w:val="00187DDE"/>
    <w:rsid w:val="001A315F"/>
    <w:rsid w:val="001C2930"/>
    <w:rsid w:val="001D6EB4"/>
    <w:rsid w:val="00202733"/>
    <w:rsid w:val="0023491D"/>
    <w:rsid w:val="00253700"/>
    <w:rsid w:val="00276133"/>
    <w:rsid w:val="0028505F"/>
    <w:rsid w:val="002E0674"/>
    <w:rsid w:val="003C2F50"/>
    <w:rsid w:val="003D427A"/>
    <w:rsid w:val="003D7710"/>
    <w:rsid w:val="003E3C20"/>
    <w:rsid w:val="003E7957"/>
    <w:rsid w:val="00460276"/>
    <w:rsid w:val="00496C06"/>
    <w:rsid w:val="004B00EE"/>
    <w:rsid w:val="004F7ED3"/>
    <w:rsid w:val="005424D8"/>
    <w:rsid w:val="00572A67"/>
    <w:rsid w:val="0059647E"/>
    <w:rsid w:val="006040C0"/>
    <w:rsid w:val="006625D6"/>
    <w:rsid w:val="006732B3"/>
    <w:rsid w:val="006816C9"/>
    <w:rsid w:val="006D458B"/>
    <w:rsid w:val="007022DC"/>
    <w:rsid w:val="00745576"/>
    <w:rsid w:val="00792A90"/>
    <w:rsid w:val="007A68E4"/>
    <w:rsid w:val="007D46E9"/>
    <w:rsid w:val="00815751"/>
    <w:rsid w:val="00851F33"/>
    <w:rsid w:val="00863568"/>
    <w:rsid w:val="0087099C"/>
    <w:rsid w:val="00877F6F"/>
    <w:rsid w:val="00884FB3"/>
    <w:rsid w:val="008E4DBC"/>
    <w:rsid w:val="0091506C"/>
    <w:rsid w:val="0092313B"/>
    <w:rsid w:val="009476B8"/>
    <w:rsid w:val="0095363C"/>
    <w:rsid w:val="00955CE4"/>
    <w:rsid w:val="0095699F"/>
    <w:rsid w:val="0095758C"/>
    <w:rsid w:val="009714B0"/>
    <w:rsid w:val="00984AD3"/>
    <w:rsid w:val="00A02816"/>
    <w:rsid w:val="00A262B7"/>
    <w:rsid w:val="00A55CE8"/>
    <w:rsid w:val="00B47A47"/>
    <w:rsid w:val="00B508B9"/>
    <w:rsid w:val="00B91E1A"/>
    <w:rsid w:val="00BD350E"/>
    <w:rsid w:val="00BE2E80"/>
    <w:rsid w:val="00C40555"/>
    <w:rsid w:val="00C7726F"/>
    <w:rsid w:val="00C77CC9"/>
    <w:rsid w:val="00CB7B0B"/>
    <w:rsid w:val="00CE0225"/>
    <w:rsid w:val="00CE0318"/>
    <w:rsid w:val="00CE3826"/>
    <w:rsid w:val="00CE5627"/>
    <w:rsid w:val="00D04FF2"/>
    <w:rsid w:val="00D12FB6"/>
    <w:rsid w:val="00D5149B"/>
    <w:rsid w:val="00DF5C6F"/>
    <w:rsid w:val="00E26950"/>
    <w:rsid w:val="00EA57D0"/>
    <w:rsid w:val="00F14B65"/>
    <w:rsid w:val="00F755AE"/>
    <w:rsid w:val="00F75F05"/>
    <w:rsid w:val="00F86256"/>
    <w:rsid w:val="00F90777"/>
    <w:rsid w:val="00FB6E10"/>
    <w:rsid w:val="00FD51B0"/>
    <w:rsid w:val="00FE16C0"/>
    <w:rsid w:val="00FE17CA"/>
    <w:rsid w:val="05C06589"/>
    <w:rsid w:val="09FFF3BD"/>
    <w:rsid w:val="0B200D11"/>
    <w:rsid w:val="1B5F647B"/>
    <w:rsid w:val="1B6603B7"/>
    <w:rsid w:val="1DF8879C"/>
    <w:rsid w:val="25C730AF"/>
    <w:rsid w:val="27B6DFD1"/>
    <w:rsid w:val="2AD502F3"/>
    <w:rsid w:val="2D4F2943"/>
    <w:rsid w:val="2DB7F98B"/>
    <w:rsid w:val="2E770157"/>
    <w:rsid w:val="3B3F689D"/>
    <w:rsid w:val="3B7D37DB"/>
    <w:rsid w:val="3BCC6D26"/>
    <w:rsid w:val="3BF7A02D"/>
    <w:rsid w:val="3E31B96F"/>
    <w:rsid w:val="3E3E5826"/>
    <w:rsid w:val="3EEED35B"/>
    <w:rsid w:val="3FDB5E60"/>
    <w:rsid w:val="3FED2057"/>
    <w:rsid w:val="3FFDD595"/>
    <w:rsid w:val="41B71931"/>
    <w:rsid w:val="49C55D2C"/>
    <w:rsid w:val="4DBF8E54"/>
    <w:rsid w:val="4EFE5DE4"/>
    <w:rsid w:val="548A0EEA"/>
    <w:rsid w:val="5D635B9E"/>
    <w:rsid w:val="5FCFBEFF"/>
    <w:rsid w:val="600A4D82"/>
    <w:rsid w:val="60DC415E"/>
    <w:rsid w:val="6136238C"/>
    <w:rsid w:val="63FC140D"/>
    <w:rsid w:val="667C4C7A"/>
    <w:rsid w:val="67794AD9"/>
    <w:rsid w:val="67993327"/>
    <w:rsid w:val="690B3AE7"/>
    <w:rsid w:val="6BE071F2"/>
    <w:rsid w:val="6D5D0B79"/>
    <w:rsid w:val="6DEF25FE"/>
    <w:rsid w:val="6FEEB253"/>
    <w:rsid w:val="6FF5BC86"/>
    <w:rsid w:val="757F57A2"/>
    <w:rsid w:val="78F45BFA"/>
    <w:rsid w:val="79FF82A5"/>
    <w:rsid w:val="7AEBD648"/>
    <w:rsid w:val="7B797925"/>
    <w:rsid w:val="7CBE921F"/>
    <w:rsid w:val="7DBFCE1E"/>
    <w:rsid w:val="7DDDB5A9"/>
    <w:rsid w:val="7DF7B36C"/>
    <w:rsid w:val="7E6DC286"/>
    <w:rsid w:val="7EEFDAFD"/>
    <w:rsid w:val="7FFA63D9"/>
    <w:rsid w:val="7FFE27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EA05E84"/>
  <w15:docId w15:val="{FF4871F7-0548-4F9C-A785-57D7F8DAC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uiPriority="1"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宋体" w:eastAsia="宋体" w:hAnsi="宋体"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styleId="a8">
    <w:name w:val="Emphasis"/>
    <w:basedOn w:val="a0"/>
    <w:qFormat/>
    <w:rPr>
      <w:i/>
    </w:rPr>
  </w:style>
  <w:style w:type="character" w:styleId="a9">
    <w:name w:val="Hyperlink"/>
    <w:basedOn w:val="a0"/>
    <w:qFormat/>
    <w:rPr>
      <w:color w:val="0000FF"/>
      <w:u w:val="single"/>
    </w:rPr>
  </w:style>
  <w:style w:type="paragraph" w:customStyle="1" w:styleId="aa">
    <w:name w:val="论文标题"/>
    <w:basedOn w:val="a"/>
    <w:qFormat/>
    <w:pPr>
      <w:jc w:val="center"/>
    </w:pPr>
    <w:rPr>
      <w:rFonts w:eastAsia="Times New Roman" w:cs="Times New Roman"/>
      <w:b/>
      <w:sz w:val="28"/>
      <w:szCs w:val="28"/>
    </w:rPr>
  </w:style>
  <w:style w:type="paragraph" w:customStyle="1" w:styleId="ab">
    <w:name w:val="作者名字"/>
    <w:basedOn w:val="a"/>
    <w:qFormat/>
    <w:rPr>
      <w:rFonts w:eastAsia="Times New Roman" w:cs="Times New Roman"/>
      <w:b/>
    </w:rPr>
  </w:style>
  <w:style w:type="paragraph" w:customStyle="1" w:styleId="ac">
    <w:name w:val="作者单位"/>
    <w:basedOn w:val="a"/>
    <w:qFormat/>
    <w:pPr>
      <w:spacing w:after="120"/>
    </w:pPr>
    <w:rPr>
      <w:rFonts w:eastAsia="Times New Roman" w:cs="Times New Roman"/>
      <w:i/>
    </w:rPr>
  </w:style>
  <w:style w:type="paragraph" w:styleId="ad">
    <w:name w:val="List Paragraph"/>
    <w:basedOn w:val="a"/>
    <w:uiPriority w:val="34"/>
    <w:qFormat/>
    <w:pPr>
      <w:ind w:left="720"/>
      <w:contextualSpacing/>
    </w:pPr>
    <w:rPr>
      <w:sz w:val="26"/>
    </w:rPr>
  </w:style>
  <w:style w:type="table" w:customStyle="1" w:styleId="Style60">
    <w:name w:val="_Style 60"/>
    <w:basedOn w:val="a1"/>
    <w:qFormat/>
    <w:rPr>
      <w:rFonts w:eastAsia="Times New Roman"/>
    </w:rPr>
    <w:tblPr/>
  </w:style>
  <w:style w:type="paragraph" w:customStyle="1" w:styleId="p1">
    <w:name w:val="p1"/>
    <w:basedOn w:val="a"/>
    <w:qFormat/>
    <w:pPr>
      <w:jc w:val="left"/>
    </w:pPr>
    <w:rPr>
      <w:rFonts w:ascii=".sf ns" w:eastAsia=".sf ns" w:hAnsi=".sf ns" w:cs="Times New Roman"/>
      <w:color w:val="0E0E0E"/>
      <w:kern w:val="0"/>
      <w:sz w:val="28"/>
      <w:szCs w:val="28"/>
    </w:rPr>
  </w:style>
  <w:style w:type="paragraph" w:customStyle="1" w:styleId="p2">
    <w:name w:val="p2"/>
    <w:basedOn w:val="a"/>
    <w:qFormat/>
    <w:pPr>
      <w:jc w:val="left"/>
    </w:pPr>
    <w:rPr>
      <w:rFonts w:ascii=".sf ns" w:eastAsia=".sf ns" w:hAnsi=".sf ns" w:cs="Times New Roman"/>
      <w:color w:val="0E0E0E"/>
      <w:kern w:val="0"/>
      <w:sz w:val="28"/>
      <w:szCs w:val="28"/>
    </w:rPr>
  </w:style>
  <w:style w:type="paragraph" w:customStyle="1" w:styleId="p3">
    <w:name w:val="p3"/>
    <w:basedOn w:val="a"/>
    <w:qFormat/>
    <w:pPr>
      <w:jc w:val="left"/>
    </w:pPr>
    <w:rPr>
      <w:rFonts w:ascii=".sf ns" w:eastAsia=".sf ns" w:hAnsi=".sf ns" w:cs="Times New Roman"/>
      <w:color w:val="0E0E0E"/>
      <w:kern w:val="0"/>
      <w:sz w:val="28"/>
      <w:szCs w:val="28"/>
    </w:rPr>
  </w:style>
  <w:style w:type="table" w:customStyle="1" w:styleId="Style61">
    <w:name w:val="_Style 61"/>
    <w:basedOn w:val="a1"/>
    <w:qFormat/>
    <w:tblPr>
      <w:tblCellMar>
        <w:top w:w="100" w:type="dxa"/>
        <w:left w:w="100" w:type="dxa"/>
        <w:bottom w:w="100" w:type="dxa"/>
        <w:right w:w="100" w:type="dxa"/>
      </w:tblCellMar>
    </w:tblPr>
  </w:style>
  <w:style w:type="character" w:customStyle="1" w:styleId="15">
    <w:name w:val="15"/>
    <w:basedOn w:val="a0"/>
    <w:qFormat/>
    <w:rPr>
      <w:rFonts w:ascii="t" w:hAnsi="t" w:hint="default"/>
      <w:color w:val="0000FF"/>
      <w:u w:val="single"/>
    </w:rPr>
  </w:style>
  <w:style w:type="character" w:customStyle="1" w:styleId="s1">
    <w:name w:val="s1"/>
    <w:basedOn w:val="a0"/>
    <w:qFormat/>
    <w:rPr>
      <w:rFonts w:ascii="PingFang SC" w:eastAsia="PingFang SC" w:hAnsi="PingFang SC" w:cs="PingFang SC"/>
      <w:sz w:val="26"/>
      <w:szCs w:val="26"/>
    </w:rPr>
  </w:style>
  <w:style w:type="character" w:customStyle="1" w:styleId="s2">
    <w:name w:val="s2"/>
    <w:basedOn w:val="a0"/>
    <w:qFormat/>
    <w:rPr>
      <w:color w:val="DCA10D"/>
    </w:rPr>
  </w:style>
  <w:style w:type="character" w:styleId="ae">
    <w:name w:val="Unresolved Mention"/>
    <w:basedOn w:val="a0"/>
    <w:uiPriority w:val="99"/>
    <w:semiHidden/>
    <w:unhideWhenUsed/>
    <w:rsid w:val="009569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25771">
      <w:bodyDiv w:val="1"/>
      <w:marLeft w:val="0"/>
      <w:marRight w:val="0"/>
      <w:marTop w:val="0"/>
      <w:marBottom w:val="0"/>
      <w:divBdr>
        <w:top w:val="none" w:sz="0" w:space="0" w:color="auto"/>
        <w:left w:val="none" w:sz="0" w:space="0" w:color="auto"/>
        <w:bottom w:val="none" w:sz="0" w:space="0" w:color="auto"/>
        <w:right w:val="none" w:sz="0" w:space="0" w:color="auto"/>
      </w:divBdr>
    </w:div>
    <w:div w:id="497116441">
      <w:bodyDiv w:val="1"/>
      <w:marLeft w:val="0"/>
      <w:marRight w:val="0"/>
      <w:marTop w:val="0"/>
      <w:marBottom w:val="0"/>
      <w:divBdr>
        <w:top w:val="none" w:sz="0" w:space="0" w:color="auto"/>
        <w:left w:val="none" w:sz="0" w:space="0" w:color="auto"/>
        <w:bottom w:val="none" w:sz="0" w:space="0" w:color="auto"/>
        <w:right w:val="none" w:sz="0" w:space="0" w:color="auto"/>
      </w:divBdr>
    </w:div>
    <w:div w:id="710882787">
      <w:bodyDiv w:val="1"/>
      <w:marLeft w:val="0"/>
      <w:marRight w:val="0"/>
      <w:marTop w:val="0"/>
      <w:marBottom w:val="0"/>
      <w:divBdr>
        <w:top w:val="none" w:sz="0" w:space="0" w:color="auto"/>
        <w:left w:val="none" w:sz="0" w:space="0" w:color="auto"/>
        <w:bottom w:val="none" w:sz="0" w:space="0" w:color="auto"/>
        <w:right w:val="none" w:sz="0" w:space="0" w:color="auto"/>
      </w:divBdr>
    </w:div>
    <w:div w:id="742096813">
      <w:bodyDiv w:val="1"/>
      <w:marLeft w:val="0"/>
      <w:marRight w:val="0"/>
      <w:marTop w:val="0"/>
      <w:marBottom w:val="0"/>
      <w:divBdr>
        <w:top w:val="none" w:sz="0" w:space="0" w:color="auto"/>
        <w:left w:val="none" w:sz="0" w:space="0" w:color="auto"/>
        <w:bottom w:val="none" w:sz="0" w:space="0" w:color="auto"/>
        <w:right w:val="none" w:sz="0" w:space="0" w:color="auto"/>
      </w:divBdr>
    </w:div>
    <w:div w:id="798836800">
      <w:bodyDiv w:val="1"/>
      <w:marLeft w:val="0"/>
      <w:marRight w:val="0"/>
      <w:marTop w:val="0"/>
      <w:marBottom w:val="0"/>
      <w:divBdr>
        <w:top w:val="none" w:sz="0" w:space="0" w:color="auto"/>
        <w:left w:val="none" w:sz="0" w:space="0" w:color="auto"/>
        <w:bottom w:val="none" w:sz="0" w:space="0" w:color="auto"/>
        <w:right w:val="none" w:sz="0" w:space="0" w:color="auto"/>
      </w:divBdr>
    </w:div>
    <w:div w:id="1094285227">
      <w:bodyDiv w:val="1"/>
      <w:marLeft w:val="0"/>
      <w:marRight w:val="0"/>
      <w:marTop w:val="0"/>
      <w:marBottom w:val="0"/>
      <w:divBdr>
        <w:top w:val="none" w:sz="0" w:space="0" w:color="auto"/>
        <w:left w:val="none" w:sz="0" w:space="0" w:color="auto"/>
        <w:bottom w:val="none" w:sz="0" w:space="0" w:color="auto"/>
        <w:right w:val="none" w:sz="0" w:space="0" w:color="auto"/>
      </w:divBdr>
    </w:div>
    <w:div w:id="1187713837">
      <w:bodyDiv w:val="1"/>
      <w:marLeft w:val="0"/>
      <w:marRight w:val="0"/>
      <w:marTop w:val="0"/>
      <w:marBottom w:val="0"/>
      <w:divBdr>
        <w:top w:val="none" w:sz="0" w:space="0" w:color="auto"/>
        <w:left w:val="none" w:sz="0" w:space="0" w:color="auto"/>
        <w:bottom w:val="none" w:sz="0" w:space="0" w:color="auto"/>
        <w:right w:val="none" w:sz="0" w:space="0" w:color="auto"/>
      </w:divBdr>
    </w:div>
    <w:div w:id="1719665754">
      <w:bodyDiv w:val="1"/>
      <w:marLeft w:val="0"/>
      <w:marRight w:val="0"/>
      <w:marTop w:val="0"/>
      <w:marBottom w:val="0"/>
      <w:divBdr>
        <w:top w:val="none" w:sz="0" w:space="0" w:color="auto"/>
        <w:left w:val="none" w:sz="0" w:space="0" w:color="auto"/>
        <w:bottom w:val="none" w:sz="0" w:space="0" w:color="auto"/>
        <w:right w:val="none" w:sz="0" w:space="0" w:color="auto"/>
      </w:divBdr>
    </w:div>
    <w:div w:id="184261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zhijun0213@email.swu.edu.c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4270</Words>
  <Characters>24342</Characters>
  <Application>Microsoft Office Word</Application>
  <DocSecurity>0</DocSecurity>
  <Lines>202</Lines>
  <Paragraphs>57</Paragraphs>
  <ScaleCrop>false</ScaleCrop>
  <Company/>
  <LinksUpToDate>false</LinksUpToDate>
  <CharactersWithSpaces>28555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陳未來</dc:creator>
  <cp:lastModifiedBy>QINYAO</cp:lastModifiedBy>
  <cp:revision>3</cp:revision>
  <cp:lastPrinted>2026-04-08T08:45:00Z</cp:lastPrinted>
  <dcterms:created xsi:type="dcterms:W3CDTF">2025-12-20T19:33:00Z</dcterms:created>
  <dcterms:modified xsi:type="dcterms:W3CDTF">2026-04-08T09:34:00Z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9D3BC372CCE546459CFE712A16C8AA23_13</vt:lpwstr>
  </property>
  <property fmtid="{D5CDD505-2E9C-101B-9397-08002B2CF9AE}" pid="4" name="KSOTemplateDocerSaveRecord">
    <vt:lpwstr>eyJoZGlkIjoiMWJmYmVhMGQ2YWQwOTc0ZDFkYmVkZTE0NzFkNThlYzIiLCJ1c2VySWQiOiI3OTA4NDIxMTkifQ==</vt:lpwstr>
  </property>
  <property fmtid="{D5CDD505-2E9C-101B-9397-08002B2CF9AE}" pid="5" name="GrammarlyDocumentId">
    <vt:lpwstr>cfe5791a-17e2-4822-bce8-6dc50ee02b8b</vt:lpwstr>
  </property>
</Properties>
</file>