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4F988" w14:textId="77777777" w:rsidR="00E33D0E" w:rsidRDefault="00E33D0E">
      <w:pPr>
        <w:spacing w:after="120" w:line="340" w:lineRule="exact"/>
        <w:jc w:val="center"/>
        <w:rPr>
          <w:rFonts w:ascii="Arial Bold" w:eastAsia="宋体" w:hAnsi="Arial Bold" w:cs="Arial Bold"/>
          <w:b/>
          <w:bCs/>
          <w:iCs/>
          <w:sz w:val="28"/>
          <w:szCs w:val="28"/>
        </w:rPr>
      </w:pPr>
    </w:p>
    <w:p w14:paraId="08D6F1BE" w14:textId="77777777" w:rsidR="00C205D1" w:rsidRPr="00C205D1" w:rsidRDefault="00C205D1" w:rsidP="00C205D1">
      <w:pPr>
        <w:spacing w:after="120"/>
        <w:jc w:val="center"/>
        <w:rPr>
          <w:rFonts w:ascii="Arial Bold" w:eastAsia="宋体" w:hAnsi="Arial Bold" w:cs="Arial Bold"/>
          <w:b/>
          <w:bCs/>
          <w:iCs/>
          <w:sz w:val="40"/>
          <w:szCs w:val="40"/>
        </w:rPr>
      </w:pPr>
      <w:bookmarkStart w:id="0" w:name="_Hlk215492089"/>
      <w:r w:rsidRPr="00C205D1">
        <w:rPr>
          <w:rFonts w:ascii="Arial Bold" w:eastAsia="宋体" w:hAnsi="Arial Bold" w:cs="Arial Bold"/>
          <w:b/>
          <w:bCs/>
          <w:iCs/>
          <w:sz w:val="40"/>
          <w:szCs w:val="40"/>
        </w:rPr>
        <w:t>Toward a Cognitive-Psychological Framework of AI Literacy and Willingness to Communicate in AI-Enhanced EFL Learning</w:t>
      </w:r>
    </w:p>
    <w:p w14:paraId="03608C6E" w14:textId="77777777" w:rsidR="00C205D1" w:rsidRPr="00C205D1" w:rsidRDefault="00C205D1">
      <w:pPr>
        <w:spacing w:after="120"/>
        <w:jc w:val="center"/>
        <w:rPr>
          <w:rFonts w:ascii="Arial Bold" w:eastAsia="宋体" w:hAnsi="Arial Bold" w:cs="Arial Bold"/>
          <w:b/>
          <w:bCs/>
          <w:iCs/>
          <w:sz w:val="40"/>
          <w:szCs w:val="40"/>
        </w:rPr>
      </w:pPr>
    </w:p>
    <w:bookmarkEnd w:id="0"/>
    <w:p w14:paraId="05288871" w14:textId="56993059" w:rsidR="00013CB0" w:rsidRPr="00013CB0" w:rsidRDefault="00C205D1" w:rsidP="00013CB0">
      <w:pPr>
        <w:jc w:val="center"/>
        <w:rPr>
          <w:rFonts w:ascii="Times New Roman Bold" w:hAnsi="Times New Roman Bold" w:cs="Times New Roman Bold"/>
          <w:b/>
          <w:sz w:val="24"/>
        </w:rPr>
      </w:pPr>
      <w:r w:rsidRPr="00C205D1">
        <w:rPr>
          <w:rFonts w:ascii="Times New Roman Bold" w:hAnsi="Times New Roman Bold" w:cs="Times New Roman Bold"/>
          <w:b/>
          <w:sz w:val="24"/>
        </w:rPr>
        <w:t>Chinny Morgana</w:t>
      </w:r>
      <w:r w:rsidR="00976F33">
        <w:rPr>
          <w:rFonts w:ascii="Times New Roman Bold" w:hAnsi="Times New Roman Bold" w:cs="Times New Roman Bold"/>
          <w:b/>
          <w:sz w:val="24"/>
          <w:vertAlign w:val="superscript"/>
        </w:rPr>
        <w:t>1</w:t>
      </w:r>
      <w:r w:rsidR="00976F33" w:rsidRPr="00712F23">
        <w:rPr>
          <w:rFonts w:ascii="Times New Roman Bold" w:hAnsi="Times New Roman Bold" w:cs="Times New Roman Bold" w:hint="eastAsia"/>
          <w:b/>
          <w:sz w:val="24"/>
          <w:vertAlign w:val="superscript"/>
        </w:rPr>
        <w:t>*</w:t>
      </w:r>
    </w:p>
    <w:p w14:paraId="62C819F3" w14:textId="77777777" w:rsidR="006D29B3" w:rsidRDefault="006D29B3" w:rsidP="003F7635">
      <w:pPr>
        <w:rPr>
          <w:rFonts w:ascii="Times New Roman Italic" w:hAnsi="Times New Roman Italic" w:cs="Times New Roman Italic"/>
          <w:sz w:val="24"/>
        </w:rPr>
      </w:pPr>
    </w:p>
    <w:p w14:paraId="56FCC79B" w14:textId="77777777" w:rsidR="00C205D1" w:rsidRPr="00C205D1" w:rsidRDefault="006D29B3" w:rsidP="00C205D1">
      <w:pPr>
        <w:jc w:val="center"/>
        <w:rPr>
          <w:rFonts w:ascii="Times New Roman Italic" w:hAnsi="Times New Roman Italic" w:cs="Times New Roman Italic"/>
          <w:sz w:val="24"/>
        </w:rPr>
      </w:pPr>
      <w:r w:rsidRPr="00C205D1">
        <w:rPr>
          <w:rFonts w:ascii="Times New Roman Italic" w:hAnsi="Times New Roman Italic" w:cs="Times New Roman Italic"/>
          <w:sz w:val="24"/>
          <w:vertAlign w:val="superscript"/>
        </w:rPr>
        <w:t xml:space="preserve">1 </w:t>
      </w:r>
      <w:r w:rsidRPr="00C205D1">
        <w:rPr>
          <w:rFonts w:ascii="Times New Roman Italic" w:hAnsi="Times New Roman Italic" w:cs="Times New Roman Italic"/>
          <w:sz w:val="24"/>
        </w:rPr>
        <w:t xml:space="preserve">School of Art, </w:t>
      </w:r>
      <w:r w:rsidR="00C205D1" w:rsidRPr="00C205D1">
        <w:rPr>
          <w:rFonts w:ascii="Times New Roman Italic" w:hAnsi="Times New Roman Italic" w:cs="Times New Roman Italic"/>
          <w:sz w:val="24"/>
        </w:rPr>
        <w:t>University of Leeds</w:t>
      </w:r>
    </w:p>
    <w:p w14:paraId="3A826A2A" w14:textId="77777777" w:rsidR="00C205D1" w:rsidRPr="00C205D1" w:rsidRDefault="00C205D1" w:rsidP="00C205D1">
      <w:pPr>
        <w:jc w:val="center"/>
        <w:rPr>
          <w:rFonts w:ascii="Times New Roman Italic" w:hAnsi="Times New Roman Italic" w:cs="Times New Roman Italic"/>
          <w:sz w:val="24"/>
        </w:rPr>
      </w:pPr>
      <w:r w:rsidRPr="00C205D1">
        <w:rPr>
          <w:rFonts w:ascii="Times New Roman Italic" w:hAnsi="Times New Roman Italic" w:cs="Times New Roman Italic"/>
          <w:sz w:val="24"/>
        </w:rPr>
        <w:t>Email: chinny70101@gmail.com</w:t>
      </w:r>
    </w:p>
    <w:p w14:paraId="0DD9EEA1" w14:textId="01F11BFF" w:rsidR="00976F33" w:rsidRPr="00976F33" w:rsidRDefault="00DC7226" w:rsidP="00C205D1">
      <w:pPr>
        <w:jc w:val="center"/>
        <w:rPr>
          <w:rFonts w:ascii="Times New Roman Italic" w:hAnsi="Times New Roman Italic" w:cs="Times New Roman Italic"/>
          <w:sz w:val="24"/>
        </w:rPr>
      </w:pPr>
      <w:r w:rsidRPr="006816C9">
        <w:rPr>
          <w:rFonts w:ascii="Times New Roman Italic" w:hAnsi="Times New Roman Italic" w:cs="Times New Roman Italic"/>
          <w:sz w:val="24"/>
        </w:rPr>
        <w:t>Corresponding Author*</w:t>
      </w:r>
      <w:r w:rsidR="00C205D1">
        <w:rPr>
          <w:rFonts w:ascii="Times New Roman Italic" w:hAnsi="Times New Roman Italic" w:cs="Times New Roman Italic"/>
          <w:sz w:val="24"/>
        </w:rPr>
        <w:t>: Chinny Morgana</w:t>
      </w:r>
      <w:r>
        <w:rPr>
          <w:rFonts w:ascii="Times New Roman Italic" w:hAnsi="Times New Roman Italic" w:cs="Times New Roman Italic"/>
          <w:sz w:val="24"/>
        </w:rPr>
        <w:t xml:space="preserve">   </w:t>
      </w:r>
      <w:r>
        <w:rPr>
          <w:rFonts w:ascii="Times New Roman Italic" w:hAnsi="Times New Roman Italic" w:cs="Times New Roman Italic" w:hint="eastAsia"/>
          <w:sz w:val="24"/>
        </w:rPr>
        <w:t>Email</w:t>
      </w:r>
      <w:r w:rsidRPr="00DC7226">
        <w:rPr>
          <w:rFonts w:ascii="Times New Roman Italic" w:hAnsi="Times New Roman Italic" w:cs="Times New Roman Italic"/>
          <w:sz w:val="24"/>
        </w:rPr>
        <w:t xml:space="preserve">: </w:t>
      </w:r>
      <w:r w:rsidR="00C205D1" w:rsidRPr="00C205D1">
        <w:rPr>
          <w:rFonts w:ascii="Times New Roman Italic" w:hAnsi="Times New Roman Italic" w:cs="Times New Roman Italic"/>
          <w:sz w:val="24"/>
        </w:rPr>
        <w:t>chinny70101@gmail.com</w:t>
      </w:r>
    </w:p>
    <w:p w14:paraId="636D0D6A" w14:textId="77777777" w:rsidR="00E33D0E" w:rsidRPr="00976F33" w:rsidRDefault="00E33D0E">
      <w:pPr>
        <w:spacing w:after="120" w:line="340" w:lineRule="exact"/>
        <w:rPr>
          <w:rFonts w:ascii="Arial Bold" w:eastAsia="宋体" w:hAnsi="Arial Bold" w:cs="Arial Bold"/>
          <w:b/>
          <w:bCs/>
          <w:iCs/>
          <w:sz w:val="28"/>
          <w:szCs w:val="28"/>
        </w:rPr>
      </w:pPr>
    </w:p>
    <w:tbl>
      <w:tblPr>
        <w:tblStyle w:val="a7"/>
        <w:tblW w:w="4941"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6345"/>
      </w:tblGrid>
      <w:tr w:rsidR="00E33D0E" w14:paraId="77729E98" w14:textId="77777777" w:rsidTr="003F6093">
        <w:trPr>
          <w:trHeight w:val="242"/>
        </w:trPr>
        <w:tc>
          <w:tcPr>
            <w:tcW w:w="1597" w:type="pct"/>
            <w:tcBorders>
              <w:top w:val="single" w:sz="4" w:space="0" w:color="auto"/>
              <w:bottom w:val="nil"/>
            </w:tcBorders>
            <w:vAlign w:val="center"/>
          </w:tcPr>
          <w:p w14:paraId="69A8872D" w14:textId="77777777" w:rsidR="00E33D0E" w:rsidRDefault="00000000">
            <w:pPr>
              <w:pStyle w:val="a5"/>
              <w:pBdr>
                <w:top w:val="none" w:sz="0" w:space="0" w:color="auto"/>
                <w:left w:val="none" w:sz="0" w:space="0" w:color="auto"/>
                <w:bottom w:val="none" w:sz="0" w:space="0" w:color="auto"/>
                <w:right w:val="none" w:sz="0" w:space="0" w:color="auto"/>
              </w:pBdr>
              <w:jc w:val="left"/>
              <w:rPr>
                <w:rFonts w:eastAsia="微软雅黑" w:cs="Times New Roman"/>
                <w:b/>
                <w:bCs/>
                <w:sz w:val="20"/>
                <w:szCs w:val="20"/>
              </w:rPr>
            </w:pPr>
            <w:r>
              <w:rPr>
                <w:rFonts w:eastAsia="微软雅黑" w:cs="Times New Roman"/>
                <w:b/>
                <w:bCs/>
                <w:sz w:val="20"/>
                <w:szCs w:val="20"/>
              </w:rPr>
              <w:t>ARTICLE INFO</w:t>
            </w:r>
          </w:p>
        </w:tc>
        <w:tc>
          <w:tcPr>
            <w:tcW w:w="3403" w:type="pct"/>
            <w:vMerge w:val="restart"/>
          </w:tcPr>
          <w:p w14:paraId="0156CA3A" w14:textId="77777777" w:rsidR="00E33D0E" w:rsidRDefault="00000000">
            <w:pPr>
              <w:pStyle w:val="a5"/>
              <w:rPr>
                <w:rFonts w:ascii="Times New Roman Bold" w:hAnsi="Times New Roman Bold" w:cs="Times New Roman Bold"/>
                <w:b/>
                <w:bCs/>
                <w:sz w:val="20"/>
                <w:szCs w:val="20"/>
              </w:rPr>
            </w:pPr>
            <w:r>
              <w:rPr>
                <w:rFonts w:ascii="Times New Roman Bold" w:hAnsi="Times New Roman Bold" w:cs="Times New Roman Bold"/>
                <w:b/>
                <w:bCs/>
                <w:sz w:val="20"/>
                <w:szCs w:val="20"/>
              </w:rPr>
              <w:t>ABSTRACT</w:t>
            </w:r>
          </w:p>
          <w:p w14:paraId="7998D6BA" w14:textId="25AFAA74" w:rsidR="00E33D0E" w:rsidRDefault="00C205D1">
            <w:pPr>
              <w:pStyle w:val="a5"/>
              <w:rPr>
                <w:rFonts w:cs="Times New Roman"/>
                <w:bCs/>
                <w:iCs/>
                <w:sz w:val="20"/>
                <w:szCs w:val="20"/>
              </w:rPr>
            </w:pPr>
            <w:r>
              <w:t>Artificial intelligence (AI) is rapidly reshaping English as a foreign language (EFL) education, yet the mechanisms through which AI-related capabilities influence learners’ communicative outcomes remain insufficiently integrated across disciplines. Drawing conceptually on two provided publications one empirical study examining artificial intelligence literacy, AI learning self-efficacy, foreign language classroom anxiety, and willingness to communicate in AI-enhanced EFL contexts, and one interdisciplinary review of cognitive psychology-based artificial intelligence this paper develops a synthetic framework that connects technological competence, cognitive-psychological processes, and communicative behavior. The paper argues that AI literacy should not be treated merely as a technical skill set. Rather, in AI-supported language learning it operates as a psychologically meaningful readiness that shapes how learners interpret AI tools, evaluate their own capability, regulate anxiety, and decide whether to participate in communication. Building on self-efficacy theory, research on willingness to communicate, and the cognitive-psychological view that effective AI must engage perception, emotion, attention, and human–computer interaction, the paper proposes a four-part conceptual model linking AI literacy, AI learning self-efficacy, foreign language classroom anxiety, and willingness to communicate. It further identifies three bridging propositions. First, AI literacy functions as a cognitive resource only when translated into agentic confidence. Second, the emotional climate of AI-enhanced learning mediates the communicative value of technological competence. Third, psychologically responsive AI environments are more likely than purely functional AI environments to foster communication. Two tables summarize the source publications and translate the synthesis into an agenda for research and pedagogy. The paper contributes by offering a theoretically integrated account of communicative readiness in AI-enhanced EFL learning and by outlining design implications for psychologically informed AI-supported instruction</w:t>
            </w:r>
            <w:r w:rsidR="003E1909" w:rsidRPr="003E1909">
              <w:rPr>
                <w:rFonts w:cs="Times New Roman"/>
                <w:bCs/>
                <w:iCs/>
                <w:sz w:val="20"/>
                <w:szCs w:val="20"/>
              </w:rPr>
              <w:t>.</w:t>
            </w:r>
            <w:r w:rsidR="00ED1268">
              <w:rPr>
                <w:rFonts w:cs="Times New Roman"/>
                <w:bCs/>
                <w:iCs/>
                <w:sz w:val="20"/>
                <w:szCs w:val="20"/>
              </w:rPr>
              <w:t xml:space="preserve">                                                 </w:t>
            </w:r>
          </w:p>
        </w:tc>
      </w:tr>
      <w:tr w:rsidR="00E33D0E" w14:paraId="3777FA52" w14:textId="77777777" w:rsidTr="003F6093">
        <w:trPr>
          <w:trHeight w:val="211"/>
        </w:trPr>
        <w:tc>
          <w:tcPr>
            <w:tcW w:w="1597" w:type="pct"/>
            <w:tcBorders>
              <w:top w:val="single" w:sz="4" w:space="0" w:color="auto"/>
              <w:bottom w:val="nil"/>
            </w:tcBorders>
            <w:vAlign w:val="center"/>
          </w:tcPr>
          <w:p w14:paraId="66D88343" w14:textId="0672F6A9" w:rsidR="003E1909" w:rsidRPr="00874EBC" w:rsidRDefault="003B4B8F" w:rsidP="00874EBC">
            <w:pPr>
              <w:pStyle w:val="a5"/>
              <w:jc w:val="left"/>
              <w:rPr>
                <w:rFonts w:ascii="Times New Roman Bold" w:eastAsiaTheme="minorEastAsia" w:hAnsi="Times New Roman Bold" w:cs="Times New Roman Bold"/>
                <w:i/>
                <w:iCs/>
                <w:sz w:val="20"/>
              </w:rPr>
            </w:pPr>
            <w:r w:rsidRPr="003B4B8F">
              <w:rPr>
                <w:rFonts w:ascii="Times New Roman Bold" w:eastAsiaTheme="minorEastAsia" w:hAnsi="Times New Roman Bold" w:cs="Times New Roman Bold" w:hint="eastAsia"/>
                <w:i/>
                <w:iCs/>
                <w:sz w:val="20"/>
              </w:rPr>
              <w:t>Keywords</w:t>
            </w:r>
            <w:r w:rsidRPr="003B4B8F">
              <w:rPr>
                <w:rFonts w:ascii="Times New Roman Bold" w:eastAsiaTheme="minorEastAsia" w:hAnsi="Times New Roman Bold" w:cs="Times New Roman Bold"/>
                <w:i/>
                <w:iCs/>
                <w:sz w:val="20"/>
              </w:rPr>
              <w:t>:</w:t>
            </w:r>
          </w:p>
          <w:p w14:paraId="528DA5AD" w14:textId="1E7E140B" w:rsidR="003B4B8F" w:rsidRPr="003B4B8F" w:rsidRDefault="00C205D1" w:rsidP="003B4B8F">
            <w:pPr>
              <w:pStyle w:val="a5"/>
              <w:jc w:val="left"/>
              <w:rPr>
                <w:rFonts w:ascii="Times New Roman Bold" w:eastAsia="宋体" w:hAnsi="Times New Roman Bold" w:cs="Times New Roman Bold"/>
                <w:b/>
                <w:bCs/>
                <w:sz w:val="20"/>
              </w:rPr>
            </w:pPr>
            <w:r w:rsidRPr="00C205D1">
              <w:rPr>
                <w:rFonts w:ascii="Times New Roman Bold" w:eastAsiaTheme="minorEastAsia" w:hAnsi="Times New Roman Bold" w:cs="Times New Roman Bold"/>
                <w:sz w:val="20"/>
              </w:rPr>
              <w:t>artificial intelligence literacy; willingness to communicate; cognitive psychology; self-efficacy; foreign language classroom anxiety; AI-enhanced EFL</w:t>
            </w:r>
            <w:r w:rsidRPr="00C205D1">
              <w:rPr>
                <w:rFonts w:ascii="Times New Roman Bold" w:eastAsiaTheme="minorEastAsia" w:hAnsi="Times New Roman Bold" w:cs="Times New Roman Bold"/>
                <w:sz w:val="20"/>
              </w:rPr>
              <w:t xml:space="preserve"> </w:t>
            </w:r>
          </w:p>
        </w:tc>
        <w:tc>
          <w:tcPr>
            <w:tcW w:w="3403" w:type="pct"/>
            <w:vMerge/>
            <w:vAlign w:val="center"/>
          </w:tcPr>
          <w:p w14:paraId="1F19AFBF" w14:textId="77777777" w:rsidR="00E33D0E" w:rsidRDefault="00E33D0E">
            <w:pPr>
              <w:keepNext/>
              <w:rPr>
                <w:rFonts w:eastAsia="Times New Roman" w:cs="Times New Roman"/>
                <w:b/>
                <w:sz w:val="24"/>
              </w:rPr>
            </w:pPr>
          </w:p>
        </w:tc>
      </w:tr>
      <w:tr w:rsidR="00E33D0E" w14:paraId="6CA1E845" w14:textId="77777777" w:rsidTr="003F6093">
        <w:trPr>
          <w:trHeight w:val="185"/>
        </w:trPr>
        <w:tc>
          <w:tcPr>
            <w:tcW w:w="1597" w:type="pct"/>
            <w:tcBorders>
              <w:top w:val="nil"/>
              <w:bottom w:val="nil"/>
            </w:tcBorders>
            <w:vAlign w:val="center"/>
          </w:tcPr>
          <w:p w14:paraId="10CADDA7" w14:textId="77777777" w:rsidR="00E33D0E" w:rsidRPr="003B4B8F" w:rsidRDefault="00E33D0E">
            <w:pPr>
              <w:pStyle w:val="a5"/>
              <w:jc w:val="left"/>
              <w:rPr>
                <w:rFonts w:ascii="Times New Roman Bold" w:eastAsiaTheme="minorEastAsia" w:hAnsi="Times New Roman Bold" w:cs="Times New Roman Bold"/>
                <w:b/>
                <w:bCs/>
                <w:sz w:val="22"/>
                <w:szCs w:val="22"/>
              </w:rPr>
            </w:pPr>
          </w:p>
        </w:tc>
        <w:tc>
          <w:tcPr>
            <w:tcW w:w="3403" w:type="pct"/>
            <w:vMerge/>
            <w:vAlign w:val="center"/>
          </w:tcPr>
          <w:p w14:paraId="51A61C8B" w14:textId="77777777" w:rsidR="00E33D0E" w:rsidRDefault="00E33D0E">
            <w:pPr>
              <w:keepNext/>
              <w:rPr>
                <w:rFonts w:eastAsia="Times New Roman" w:cs="Times New Roman"/>
                <w:b/>
                <w:sz w:val="24"/>
              </w:rPr>
            </w:pPr>
          </w:p>
        </w:tc>
      </w:tr>
      <w:tr w:rsidR="00E33D0E" w14:paraId="45ECA38B" w14:textId="77777777" w:rsidTr="003F6093">
        <w:trPr>
          <w:trHeight w:val="1418"/>
        </w:trPr>
        <w:tc>
          <w:tcPr>
            <w:tcW w:w="1597" w:type="pct"/>
            <w:tcBorders>
              <w:top w:val="nil"/>
              <w:bottom w:val="single" w:sz="4" w:space="0" w:color="auto"/>
            </w:tcBorders>
            <w:vAlign w:val="center"/>
          </w:tcPr>
          <w:p w14:paraId="1A588EDD" w14:textId="77777777" w:rsidR="00E33D0E" w:rsidRPr="003B4B8F" w:rsidRDefault="003B4B8F">
            <w:pPr>
              <w:pStyle w:val="a5"/>
              <w:jc w:val="left"/>
              <w:rPr>
                <w:rFonts w:ascii="Times New Roman Bold" w:eastAsiaTheme="minorEastAsia" w:hAnsi="Times New Roman Bold" w:cs="Times New Roman Bold"/>
                <w:i/>
                <w:iCs/>
                <w:sz w:val="20"/>
              </w:rPr>
            </w:pPr>
            <w:r w:rsidRPr="003B4B8F">
              <w:rPr>
                <w:rFonts w:ascii="Times New Roman Bold" w:eastAsiaTheme="minorEastAsia" w:hAnsi="Times New Roman Bold" w:cs="Times New Roman Bold" w:hint="eastAsia"/>
                <w:i/>
                <w:iCs/>
                <w:sz w:val="20"/>
              </w:rPr>
              <w:t>Published</w:t>
            </w:r>
          </w:p>
          <w:p w14:paraId="526D680F" w14:textId="4F5FF9F0" w:rsidR="003B4B8F" w:rsidRPr="00A92213" w:rsidRDefault="00E65E1A">
            <w:pPr>
              <w:pStyle w:val="a5"/>
              <w:jc w:val="left"/>
              <w:rPr>
                <w:rFonts w:ascii="Times New Roman Bold" w:eastAsiaTheme="minorEastAsia" w:hAnsi="Times New Roman Bold" w:cs="Times New Roman Bold"/>
                <w:sz w:val="22"/>
                <w:szCs w:val="22"/>
              </w:rPr>
            </w:pPr>
            <w:r>
              <w:rPr>
                <w:rFonts w:ascii="Times New Roman Bold" w:eastAsiaTheme="minorEastAsia" w:hAnsi="Times New Roman Bold" w:cs="Times New Roman Bold"/>
                <w:sz w:val="22"/>
                <w:szCs w:val="22"/>
              </w:rPr>
              <w:t>9</w:t>
            </w:r>
            <w:r w:rsidR="00A92213" w:rsidRPr="00A92213">
              <w:rPr>
                <w:rFonts w:ascii="Times New Roman Bold" w:eastAsiaTheme="minorEastAsia" w:hAnsi="Times New Roman Bold" w:cs="Times New Roman Bold"/>
                <w:sz w:val="22"/>
                <w:szCs w:val="22"/>
              </w:rPr>
              <w:t xml:space="preserve"> March 2026</w:t>
            </w:r>
          </w:p>
        </w:tc>
        <w:tc>
          <w:tcPr>
            <w:tcW w:w="3403" w:type="pct"/>
            <w:vMerge/>
            <w:vAlign w:val="center"/>
          </w:tcPr>
          <w:p w14:paraId="4A3DF4FE" w14:textId="77777777" w:rsidR="00E33D0E" w:rsidRDefault="00E33D0E">
            <w:pPr>
              <w:keepNext/>
              <w:rPr>
                <w:rFonts w:eastAsia="Times New Roman" w:cs="Times New Roman"/>
                <w:b/>
                <w:sz w:val="24"/>
              </w:rPr>
            </w:pPr>
          </w:p>
        </w:tc>
      </w:tr>
    </w:tbl>
    <w:p w14:paraId="224ADB39" w14:textId="77777777" w:rsidR="00E33D0E" w:rsidRDefault="00E33D0E">
      <w:pPr>
        <w:spacing w:after="120"/>
        <w:rPr>
          <w:rFonts w:eastAsia="宋体" w:cs="Times New Roman"/>
          <w:i/>
        </w:rPr>
      </w:pPr>
    </w:p>
    <w:p w14:paraId="7B321CBB" w14:textId="77777777" w:rsidR="00E65E1A" w:rsidRPr="00E65E1A" w:rsidRDefault="00E65E1A" w:rsidP="00E65E1A">
      <w:pPr>
        <w:spacing w:after="120"/>
        <w:rPr>
          <w:rFonts w:eastAsia="宋体" w:cs="Times New Roman"/>
          <w:iCs/>
        </w:rPr>
      </w:pPr>
      <w:r w:rsidRPr="00E65E1A">
        <w:rPr>
          <w:rFonts w:eastAsia="宋体" w:cs="Times New Roman"/>
          <w:iCs/>
        </w:rPr>
        <w:t>1. Introduction</w:t>
      </w:r>
    </w:p>
    <w:p w14:paraId="4C851A62" w14:textId="77777777" w:rsidR="00E65E1A" w:rsidRPr="00E65E1A" w:rsidRDefault="00E65E1A" w:rsidP="00E65E1A">
      <w:pPr>
        <w:spacing w:after="120"/>
        <w:rPr>
          <w:rFonts w:eastAsia="宋体" w:cs="Times New Roman"/>
          <w:iCs/>
        </w:rPr>
      </w:pPr>
      <w:r w:rsidRPr="00E65E1A">
        <w:rPr>
          <w:rFonts w:eastAsia="宋体" w:cs="Times New Roman"/>
          <w:iCs/>
        </w:rPr>
        <w:t xml:space="preserve">The integration of artificial intelligence into education has moved from speculative possibility to everyday pedagogical reality. In English as a foreign language (EFL) settings, AI now appears in pronunciation tools, automated feedback systems, conversational agents, translation support, vocabulary applications, and adaptive </w:t>
      </w:r>
      <w:r w:rsidRPr="00E65E1A">
        <w:rPr>
          <w:rFonts w:eastAsia="宋体" w:cs="Times New Roman"/>
          <w:iCs/>
        </w:rPr>
        <w:lastRenderedPageBreak/>
        <w:t>learning environments. This shift has transformed not only how students access language input and practice opportunities, but also how they perceive themselves as learners and communicators. The spread of AI-enhanced language learning has therefore created a double challenge for research. On the one hand, scholars must account for learners’ technological competence in environments increasingly shaped by AI. On the other hand, they must explain how this competence interacts with psychological processes that have long been central to language learning, including confidence, anxiety, and willingness to communicate.</w:t>
      </w:r>
    </w:p>
    <w:p w14:paraId="29520362" w14:textId="77777777" w:rsidR="00E65E1A" w:rsidRPr="00E65E1A" w:rsidRDefault="00E65E1A" w:rsidP="00E65E1A">
      <w:pPr>
        <w:spacing w:after="120"/>
        <w:rPr>
          <w:rFonts w:eastAsia="宋体" w:cs="Times New Roman"/>
          <w:iCs/>
        </w:rPr>
      </w:pPr>
      <w:r w:rsidRPr="00E65E1A">
        <w:rPr>
          <w:rFonts w:eastAsia="宋体" w:cs="Times New Roman"/>
          <w:iCs/>
        </w:rPr>
        <w:t>One of the most important recent empirical contributions to this discussion is the study by Zhang, Nie, Fan, and Liu (2025), which examined the relationship among artificial intelligence literacy, AI learning self-efficacy, foreign language classroom anxiety, and willingness to communicate among Chinese university EFL learners. Their findings are especially important because they show that AI literacy does not directly predict willingness to communicate; instead, its influence is transmitted through self-efficacy and anxiety. This result suggests that technological readiness matters, but it matters psychologically rather than mechanically. Simply knowing how AI works or how to use AI tools is not enough to increase learners’ readiness to speak. What matters is whether that literacy strengthens confidence and reduces emotional barriers.</w:t>
      </w:r>
    </w:p>
    <w:p w14:paraId="4A58A204" w14:textId="77777777" w:rsidR="00E65E1A" w:rsidRPr="00E65E1A" w:rsidRDefault="00E65E1A" w:rsidP="00E65E1A">
      <w:pPr>
        <w:spacing w:after="120"/>
        <w:rPr>
          <w:rFonts w:eastAsia="宋体" w:cs="Times New Roman"/>
          <w:iCs/>
        </w:rPr>
      </w:pPr>
      <w:r w:rsidRPr="00E65E1A">
        <w:rPr>
          <w:rFonts w:eastAsia="宋体" w:cs="Times New Roman"/>
          <w:iCs/>
        </w:rPr>
        <w:t>At the same time, a broader theoretical foundation is needed to explain why this mediated pattern emerges. Zhao, Wu, Zhou, Wang, and Jia (2022) provide such a foundation by arguing that the future development of AI depends on its integration with cognitive psychology. Their review emphasizes that AI systems designed only around computational efficiency or biological replication remain limited because they do not adequately simulate advanced human cognition, subjective emotion, or psychologically meaningful interaction. From this perspective, AI becomes educationally powerful not only when it processes information, but when it interacts with learners in ways that engage attention, emotion, perception, and meaning-making. Although Zhao et al. (2022) do not focus on EFL learning, their argument helps explain why AI-enhanced language education cannot be understood through technical variables alone.</w:t>
      </w:r>
    </w:p>
    <w:p w14:paraId="454C3E02" w14:textId="77777777" w:rsidR="00E65E1A" w:rsidRPr="00E65E1A" w:rsidRDefault="00E65E1A" w:rsidP="00E65E1A">
      <w:pPr>
        <w:spacing w:after="120"/>
        <w:rPr>
          <w:rFonts w:eastAsia="宋体" w:cs="Times New Roman"/>
          <w:iCs/>
        </w:rPr>
      </w:pPr>
      <w:r w:rsidRPr="00E65E1A">
        <w:rPr>
          <w:rFonts w:eastAsia="宋体" w:cs="Times New Roman"/>
          <w:iCs/>
        </w:rPr>
        <w:t>This paper synthesizes these two publications in order to build a conceptual account of communicative readiness in AI-enhanced EFL learning. Rather than treating the articles as belonging to separate conversations one about language education and the other about interdisciplinary AI theory this paper argues that they are complementary. The first identifies a concrete pathway through which AI literacy influences communication. The second explains why psychologically informed AI matters in the first place. Taken together, they point toward a cognitive-psychological framework in which AI literacy operates through self-beliefs and emotional regulation, while AI environments become more effective when they are responsive to human cognition and affect.</w:t>
      </w:r>
    </w:p>
    <w:p w14:paraId="18F3A24E" w14:textId="77777777" w:rsidR="00E65E1A" w:rsidRPr="00E65E1A" w:rsidRDefault="00E65E1A" w:rsidP="00E65E1A">
      <w:pPr>
        <w:spacing w:after="120"/>
        <w:rPr>
          <w:rFonts w:eastAsia="宋体" w:cs="Times New Roman"/>
          <w:iCs/>
        </w:rPr>
      </w:pPr>
      <w:r w:rsidRPr="00E65E1A">
        <w:rPr>
          <w:rFonts w:eastAsia="宋体" w:cs="Times New Roman"/>
          <w:iCs/>
        </w:rPr>
        <w:t>The purpose of this paper is therefore threefold. First, it clarifies the conceptual relationship among AI literacy, AI learning self-efficacy, foreign language classroom anxiety, and willingness to communicate in AI-enhanced EFL contexts. Second, it integrates these constructs with insights from cognitive psychology-based AI, especially the view that emotion, attention, and human–computer interaction are central rather than peripheral to intelligent systems. Third, it develops a set of propositions and implications for future research and pedagogical design. In doing so, the paper aims to provide a theoretically coherent synthesis that can guide both empirical inquiry and instructional practice.</w:t>
      </w:r>
    </w:p>
    <w:p w14:paraId="55A63A10" w14:textId="77777777" w:rsidR="00E65E1A" w:rsidRPr="00E65E1A" w:rsidRDefault="00E65E1A" w:rsidP="00E65E1A">
      <w:pPr>
        <w:spacing w:after="120"/>
        <w:rPr>
          <w:rFonts w:eastAsia="宋体" w:cs="Times New Roman"/>
          <w:iCs/>
        </w:rPr>
      </w:pPr>
      <w:r w:rsidRPr="00E65E1A">
        <w:rPr>
          <w:rFonts w:eastAsia="宋体" w:cs="Times New Roman"/>
          <w:iCs/>
        </w:rPr>
        <w:t>2. Source Publications and Rationale for Synthesis</w:t>
      </w:r>
    </w:p>
    <w:p w14:paraId="650E6CB3" w14:textId="77777777" w:rsidR="00E65E1A" w:rsidRPr="00E65E1A" w:rsidRDefault="00E65E1A" w:rsidP="00E65E1A">
      <w:pPr>
        <w:spacing w:after="120"/>
        <w:rPr>
          <w:rFonts w:eastAsia="宋体" w:cs="Times New Roman"/>
          <w:iCs/>
        </w:rPr>
      </w:pPr>
      <w:r w:rsidRPr="00E65E1A">
        <w:rPr>
          <w:rFonts w:eastAsia="宋体" w:cs="Times New Roman"/>
          <w:iCs/>
        </w:rPr>
        <w:t xml:space="preserve">The first source publication, Zhang et al. (2025), is an empirical study situated squarely within AI-enhanced EFL education. Using structural equation modeling with 517 Chinese university students, the authors examined whether AI literacy predicts willingness to communicate, and whether AI learning self-efficacy and foreign language classroom anxiety mediate this relationship. Their results supported a model in which AI literacy positively predicted self-efficacy and negatively predicted anxiety, while self-efficacy positively predicted willingness to communicate and anxiety negatively predicted it. Crucially, the direct path from AI literacy to willingness to communicate was not significant, indicating full mediation. This finding has major theoretical </w:t>
      </w:r>
      <w:r w:rsidRPr="00E65E1A">
        <w:rPr>
          <w:rFonts w:eastAsia="宋体" w:cs="Times New Roman"/>
          <w:iCs/>
        </w:rPr>
        <w:lastRenderedPageBreak/>
        <w:t>value because it suggests that technological capability alone is insufficient; its effects are realized through learners’ psychological states.</w:t>
      </w:r>
    </w:p>
    <w:p w14:paraId="756CF6A6" w14:textId="77777777" w:rsidR="00E65E1A" w:rsidRPr="00E65E1A" w:rsidRDefault="00E65E1A" w:rsidP="00E65E1A">
      <w:pPr>
        <w:spacing w:after="120"/>
        <w:rPr>
          <w:rFonts w:eastAsia="宋体" w:cs="Times New Roman"/>
          <w:iCs/>
        </w:rPr>
      </w:pPr>
      <w:r w:rsidRPr="00E65E1A">
        <w:rPr>
          <w:rFonts w:eastAsia="宋体" w:cs="Times New Roman"/>
          <w:iCs/>
        </w:rPr>
        <w:t>The second source publication, Zhao et al. (2022), is an interdisciplinary review arguing that AI development should increasingly incorporate cognitive psychology. The authors contend that contemporary AI remains constrained because it inadequately captures human subjective mental changes, particularly emotion, preference, and empathy. They review work on face attractiveness prediction, affective computing, and music emotion to show how AI informed by psychological processes may move toward more advanced forms of interaction. Their central claim is that AI should simulate not only the rational “brain” but also the affective and perceptual “heart,” thereby enabling richer human–computer interaction.</w:t>
      </w:r>
    </w:p>
    <w:p w14:paraId="703F4686" w14:textId="77777777" w:rsidR="00E65E1A" w:rsidRPr="00E65E1A" w:rsidRDefault="00E65E1A" w:rsidP="00E65E1A">
      <w:pPr>
        <w:spacing w:after="120"/>
        <w:rPr>
          <w:rFonts w:eastAsia="宋体" w:cs="Times New Roman"/>
          <w:iCs/>
        </w:rPr>
      </w:pPr>
      <w:r w:rsidRPr="00E65E1A">
        <w:rPr>
          <w:rFonts w:eastAsia="宋体" w:cs="Times New Roman"/>
          <w:iCs/>
        </w:rPr>
        <w:t>At first glance, the two articles appear to address different topics. Zhang et al. (2025) focus on EFL learners’ communicative willingness in AI-supported classrooms, while Zhao et al. (2022) discuss broad theoretical directions in AI research. Yet their underlying concerns intersect in several important ways. Both recognize that AI is not merely a computational tool but a psychologically consequential environment. Both foreground emotion as a determinant of effective interaction. Both imply that intelligent systems must be understood in relation to human cognitive and affective processes. Most importantly, when read together they reveal a gap in current EFL scholarship: although AI literacy has begun to attract attention, the psychological architecture that connects AI capability to communication remains undertheorized.</w:t>
      </w:r>
    </w:p>
    <w:p w14:paraId="4681650F" w14:textId="77777777" w:rsidR="00E65E1A" w:rsidRPr="00E65E1A" w:rsidRDefault="00E65E1A" w:rsidP="00E65E1A">
      <w:pPr>
        <w:spacing w:after="120"/>
        <w:rPr>
          <w:rFonts w:eastAsia="宋体" w:cs="Times New Roman"/>
          <w:iCs/>
        </w:rPr>
      </w:pPr>
      <w:r w:rsidRPr="00E65E1A">
        <w:rPr>
          <w:rFonts w:eastAsia="宋体" w:cs="Times New Roman"/>
          <w:iCs/>
        </w:rPr>
        <w:t xml:space="preserve">The rationale for synthesis is therefore straightforward. Zhang et al. (2025) provide evidence of a mediated pathway but stop short of embedding their model in a richer account of AI as a psychologically interactive environment. Zhao et al. (2022) offer that broader account, but do not apply it to language education. Bringing the two together makes it possible to explain not only what variables are linked, but why they are linked. This synthesis also aligns with recent work suggesting that AI-supported language learning depends on more than access or novelty. Studies have shown that willingness to communicate in technology-enhanced environments is shaped by learner emotions, contextual affordances, and perceptions of competence rather than by digital exposure alone (Huang &amp; Li, 2024; Hsieh et al., 2023; Lee &amp; Hsieh, 2019). Similarly, research on AI in education has emphasized the need to cultivate AI literacy in ways that support learners’ judgment, confidence, and readiness for an AI-augmented future (Allen &amp; </w:t>
      </w:r>
      <w:proofErr w:type="spellStart"/>
      <w:r w:rsidRPr="00E65E1A">
        <w:rPr>
          <w:rFonts w:eastAsia="宋体" w:cs="Times New Roman"/>
          <w:iCs/>
        </w:rPr>
        <w:t>Kendeou</w:t>
      </w:r>
      <w:proofErr w:type="spellEnd"/>
      <w:r w:rsidRPr="00E65E1A">
        <w:rPr>
          <w:rFonts w:eastAsia="宋体" w:cs="Times New Roman"/>
          <w:iCs/>
        </w:rPr>
        <w:t>, 2024; Dai et al., 2020; Ng et al., 2024).</w:t>
      </w:r>
    </w:p>
    <w:p w14:paraId="6D0EDD51" w14:textId="77777777" w:rsidR="00E65E1A" w:rsidRPr="00E65E1A" w:rsidRDefault="00E65E1A" w:rsidP="00E65E1A">
      <w:pPr>
        <w:spacing w:after="120"/>
        <w:rPr>
          <w:rFonts w:eastAsia="宋体" w:cs="Times New Roman"/>
          <w:iCs/>
        </w:rPr>
      </w:pPr>
      <w:r w:rsidRPr="00E65E1A">
        <w:rPr>
          <w:rFonts w:eastAsia="宋体" w:cs="Times New Roman"/>
          <w:iCs/>
        </w:rPr>
        <w:t>Seen in this light, the synthesis is not a simple merger of two texts. It is an attempt to articulate a conceptual bridge between technological readiness and communicative action through the lens of cognitive psychology. The resulting framework treats willingness to communicate in AI-enhanced EFL learning as an outcome of both what learners know about AI and how AI environments shape their confidence and emotion.</w:t>
      </w:r>
    </w:p>
    <w:p w14:paraId="6E4D69B4" w14:textId="77777777" w:rsidR="00E65E1A" w:rsidRPr="00E65E1A" w:rsidRDefault="00E65E1A" w:rsidP="00E65E1A">
      <w:pPr>
        <w:spacing w:after="120"/>
        <w:rPr>
          <w:rFonts w:eastAsia="宋体" w:cs="Times New Roman"/>
          <w:iCs/>
        </w:rPr>
      </w:pPr>
      <w:r w:rsidRPr="00E65E1A">
        <w:rPr>
          <w:rFonts w:eastAsia="宋体" w:cs="Times New Roman"/>
          <w:iCs/>
        </w:rPr>
        <w:t>3. AI Literacy Beyond Technical Skill</w:t>
      </w:r>
    </w:p>
    <w:p w14:paraId="2ADD1335" w14:textId="77777777" w:rsidR="00E65E1A" w:rsidRPr="00E65E1A" w:rsidRDefault="00E65E1A" w:rsidP="00E65E1A">
      <w:pPr>
        <w:spacing w:after="120"/>
        <w:rPr>
          <w:rFonts w:eastAsia="宋体" w:cs="Times New Roman"/>
          <w:iCs/>
        </w:rPr>
      </w:pPr>
      <w:r w:rsidRPr="00E65E1A">
        <w:rPr>
          <w:rFonts w:eastAsia="宋体" w:cs="Times New Roman"/>
          <w:iCs/>
        </w:rPr>
        <w:t xml:space="preserve">A central insight from Zhang et al. (2025) is that AI literacy should not be reduced to operational familiarity with tools. In their study, AI literacy refers to learners’ understanding of AI-related principles and applications in educational settings. This construct builds on broader scholarship describing AI literacy as the capacity to understand AI foundations, evaluate its implications, and collaborate effectively with AI systems (Allen &amp; </w:t>
      </w:r>
      <w:proofErr w:type="spellStart"/>
      <w:r w:rsidRPr="00E65E1A">
        <w:rPr>
          <w:rFonts w:eastAsia="宋体" w:cs="Times New Roman"/>
          <w:iCs/>
        </w:rPr>
        <w:t>Kendeou</w:t>
      </w:r>
      <w:proofErr w:type="spellEnd"/>
      <w:r w:rsidRPr="00E65E1A">
        <w:rPr>
          <w:rFonts w:eastAsia="宋体" w:cs="Times New Roman"/>
          <w:iCs/>
        </w:rPr>
        <w:t>, 2024; Dai et al., 2020). Such definitions already move beyond narrow technical proficiency, but the implications for language learning deserve further development.</w:t>
      </w:r>
    </w:p>
    <w:p w14:paraId="7E36929F" w14:textId="77777777" w:rsidR="00E65E1A" w:rsidRPr="00E65E1A" w:rsidRDefault="00E65E1A" w:rsidP="00E65E1A">
      <w:pPr>
        <w:spacing w:after="120"/>
        <w:rPr>
          <w:rFonts w:eastAsia="宋体" w:cs="Times New Roman"/>
          <w:iCs/>
        </w:rPr>
      </w:pPr>
      <w:r w:rsidRPr="00E65E1A">
        <w:rPr>
          <w:rFonts w:eastAsia="宋体" w:cs="Times New Roman"/>
          <w:iCs/>
        </w:rPr>
        <w:t xml:space="preserve">In EFL contexts, AI literacy has at least three dimensions. First, it is cognitive. Learners need to understand what AI can and cannot do, how AI-generated responses are produced, and when particular tools are appropriate for language tasks. This cognitive dimension matters because it affects judgment and strategic use. Students who can distinguish between pronunciation coaching, translation assistance, idea generation, and feedback support are more likely to use AI purposefully rather than passively. Second, AI literacy is metacognitive. Learners must monitor the reliability, limitations, and pedagogical fit of AI outputs. This includes evaluating inaccuracies, </w:t>
      </w:r>
      <w:r w:rsidRPr="00E65E1A">
        <w:rPr>
          <w:rFonts w:eastAsia="宋体" w:cs="Times New Roman"/>
          <w:iCs/>
        </w:rPr>
        <w:lastRenderedPageBreak/>
        <w:t>overdependence, or inappropriate reliance on automated systems. Third, AI literacy is socio-affective. Learners’ perceptions of AI as supportive, intimidating, controllable, or opaque shape whether they experience AI as empowering or threatening.</w:t>
      </w:r>
    </w:p>
    <w:p w14:paraId="0EA3CAB6" w14:textId="77777777" w:rsidR="00E65E1A" w:rsidRPr="00E65E1A" w:rsidRDefault="00E65E1A" w:rsidP="00E65E1A">
      <w:pPr>
        <w:spacing w:after="120"/>
        <w:rPr>
          <w:rFonts w:eastAsia="宋体" w:cs="Times New Roman"/>
          <w:iCs/>
        </w:rPr>
      </w:pPr>
      <w:r w:rsidRPr="00E65E1A">
        <w:rPr>
          <w:rFonts w:eastAsia="宋体" w:cs="Times New Roman"/>
          <w:iCs/>
        </w:rPr>
        <w:t xml:space="preserve">This third dimension is often underemphasized. Yet the results of Zhang et al. (2025) imply that the social and emotional meaning of AI literacy is central. If AI literacy directly increased willingness to communicate, one might conclude that technical preparedness itself drives communication. However, because the direct path was not significant, the interpretation is different: AI literacy matters when it changes how learners feel and what they believe they can do. This aligns with research showing that digital competence often influences performance and engagement indirectly through self-efficacy (Ibrahim &amp; </w:t>
      </w:r>
      <w:proofErr w:type="spellStart"/>
      <w:r w:rsidRPr="00E65E1A">
        <w:rPr>
          <w:rFonts w:eastAsia="宋体" w:cs="Times New Roman"/>
          <w:iCs/>
        </w:rPr>
        <w:t>Aldawsari</w:t>
      </w:r>
      <w:proofErr w:type="spellEnd"/>
      <w:r w:rsidRPr="00E65E1A">
        <w:rPr>
          <w:rFonts w:eastAsia="宋体" w:cs="Times New Roman"/>
          <w:iCs/>
        </w:rPr>
        <w:t>, 2023; Gumus et al., 2024). It also resonates with work suggesting that AI-related confidence is an important determinant of how individuals respond to AI adoption (Kim &amp; Lee, 2024; Wang &amp; Chuang, 2024).</w:t>
      </w:r>
    </w:p>
    <w:p w14:paraId="3CA45FA4" w14:textId="77777777" w:rsidR="00E65E1A" w:rsidRPr="00E65E1A" w:rsidRDefault="00E65E1A" w:rsidP="00E65E1A">
      <w:pPr>
        <w:spacing w:after="120"/>
        <w:rPr>
          <w:rFonts w:eastAsia="宋体" w:cs="Times New Roman"/>
          <w:iCs/>
        </w:rPr>
      </w:pPr>
      <w:r w:rsidRPr="00E65E1A">
        <w:rPr>
          <w:rFonts w:eastAsia="宋体" w:cs="Times New Roman"/>
          <w:iCs/>
        </w:rPr>
        <w:t>From the perspective of cognitive psychology-based AI, this mediated effect is unsurprising. Zhao et al. (2022) argue that intelligent systems must engage human psychological processes rather than merely perform tasks. If AI is experienced by learners as opaque, alien, or evaluative, then technical literacy alone may not translate into communicative readiness. Conversely, if learners interpret AI as understandable, manageable, and responsive, AI literacy may become a cognitive resource that supports action. In this sense, AI literacy in education is not simply a knowledge base but a readiness structure. It informs how learners perceive the environment, anticipate outcomes, and regulate participation.</w:t>
      </w:r>
    </w:p>
    <w:p w14:paraId="08F5E0E9" w14:textId="77777777" w:rsidR="00E65E1A" w:rsidRPr="00E65E1A" w:rsidRDefault="00E65E1A" w:rsidP="00E65E1A">
      <w:pPr>
        <w:spacing w:after="120"/>
        <w:rPr>
          <w:rFonts w:eastAsia="宋体" w:cs="Times New Roman"/>
          <w:iCs/>
        </w:rPr>
      </w:pPr>
      <w:r w:rsidRPr="00E65E1A">
        <w:rPr>
          <w:rFonts w:eastAsia="宋体" w:cs="Times New Roman"/>
          <w:iCs/>
        </w:rPr>
        <w:t>This interpretation has an important implication for EFL pedagogy. Programs that aim to improve AI literacy should not focus only on teaching functions or features. They should also develop students’ critical understanding, strategic judgment, and comfort in interacting with AI. Educational games, structured exposure, and scaffolded activities may support this broader development by engaging affective as well as cognitive dimensions of AI literacy (Ng et al., 2024). When AI literacy is framed in this richer way, it becomes plausible to see it as a precursor to communicative confidence rather than as an end in itself.</w:t>
      </w:r>
    </w:p>
    <w:p w14:paraId="5BC20550" w14:textId="77777777" w:rsidR="00E65E1A" w:rsidRPr="00E65E1A" w:rsidRDefault="00E65E1A" w:rsidP="00E65E1A">
      <w:pPr>
        <w:spacing w:after="120"/>
        <w:rPr>
          <w:rFonts w:eastAsia="宋体" w:cs="Times New Roman"/>
          <w:iCs/>
        </w:rPr>
      </w:pPr>
      <w:r w:rsidRPr="00E65E1A">
        <w:rPr>
          <w:rFonts w:eastAsia="宋体" w:cs="Times New Roman"/>
          <w:iCs/>
        </w:rPr>
        <w:t>3A. Theoretical Convergence and Productive Tension Between the Source Studies</w:t>
      </w:r>
    </w:p>
    <w:p w14:paraId="3D52B085" w14:textId="77777777" w:rsidR="00E65E1A" w:rsidRPr="00E65E1A" w:rsidRDefault="00E65E1A" w:rsidP="00E65E1A">
      <w:pPr>
        <w:spacing w:after="120"/>
        <w:rPr>
          <w:rFonts w:eastAsia="宋体" w:cs="Times New Roman"/>
          <w:iCs/>
        </w:rPr>
      </w:pPr>
      <w:r w:rsidRPr="00E65E1A">
        <w:rPr>
          <w:rFonts w:eastAsia="宋体" w:cs="Times New Roman"/>
          <w:iCs/>
        </w:rPr>
        <w:t>Although the two source publications complement one another, their convergence is not perfect, and this imperfection is analytically useful. Zhang et al. (2025) work within a relatively bounded educational-psychological model. Their study is parsimonious: AI literacy, AI learning self-efficacy, foreign language classroom anxiety, and willingness to communicate are linked through a structural equation model guided primarily by self-efficacy theory. This gives the article explanatory clarity and empirical precision. Yet the same strength also creates a limitation. The model does not fully theorize the nature of AI itself as a learning environment. AI appears largely as a context in which psychological variables operate, not as a psychologically designed system whose interactional features may shape those variables.</w:t>
      </w:r>
    </w:p>
    <w:p w14:paraId="284AABB8" w14:textId="77777777" w:rsidR="00E65E1A" w:rsidRPr="00E65E1A" w:rsidRDefault="00E65E1A" w:rsidP="00E65E1A">
      <w:pPr>
        <w:spacing w:after="120"/>
        <w:rPr>
          <w:rFonts w:eastAsia="宋体" w:cs="Times New Roman"/>
          <w:iCs/>
        </w:rPr>
      </w:pPr>
      <w:r w:rsidRPr="00E65E1A">
        <w:rPr>
          <w:rFonts w:eastAsia="宋体" w:cs="Times New Roman"/>
          <w:iCs/>
        </w:rPr>
        <w:t>By contrast, Zhao et al. (2022) theorize AI itself in ambitious interdisciplinary terms. Their concern is not one educational outcome, but the broader claim that AI development should incorporate cognitive psychology because intelligence without emotion, perception, and subjective responsiveness remains incomplete. The strength of this article lies in its scope. It pushes the reader to think about AI as a human-centered system rather than as an instrument. However, its breadth also means that it does not offer a sharply delimited educational model or a focused explanation of specific language learning outcomes.</w:t>
      </w:r>
    </w:p>
    <w:p w14:paraId="53AA7DAC" w14:textId="77777777" w:rsidR="00E65E1A" w:rsidRPr="00E65E1A" w:rsidRDefault="00E65E1A" w:rsidP="00E65E1A">
      <w:pPr>
        <w:spacing w:after="120"/>
        <w:rPr>
          <w:rFonts w:eastAsia="宋体" w:cs="Times New Roman"/>
          <w:iCs/>
        </w:rPr>
      </w:pPr>
      <w:r w:rsidRPr="00E65E1A">
        <w:rPr>
          <w:rFonts w:eastAsia="宋体" w:cs="Times New Roman"/>
          <w:iCs/>
        </w:rPr>
        <w:t xml:space="preserve">The productive tension between the two works lies exactly here. Zhang et al. (2025) tell us that communicative willingness depends on mediated psychological processes. Zhao et al. (2022) tell us that psychologically meaningful AI must engage human cognitive and affective processes. The former is empirically specific but contextually thinner; the latter is conceptually rich but educationally broader. A synthesis therefore requires reinterpretation. It is not enough to borrow concepts from one article and insert them into the other. Instead, one </w:t>
      </w:r>
      <w:r w:rsidRPr="00E65E1A">
        <w:rPr>
          <w:rFonts w:eastAsia="宋体" w:cs="Times New Roman"/>
          <w:iCs/>
        </w:rPr>
        <w:lastRenderedPageBreak/>
        <w:t>must identify a common level of explanation: AI-supported communication succeeds when technological affordances and psychological processes are aligned.</w:t>
      </w:r>
    </w:p>
    <w:p w14:paraId="4EA4026E" w14:textId="77777777" w:rsidR="00E65E1A" w:rsidRPr="00E65E1A" w:rsidRDefault="00E65E1A" w:rsidP="00E65E1A">
      <w:pPr>
        <w:spacing w:after="120"/>
        <w:rPr>
          <w:rFonts w:eastAsia="宋体" w:cs="Times New Roman"/>
          <w:iCs/>
        </w:rPr>
      </w:pPr>
      <w:r w:rsidRPr="00E65E1A">
        <w:rPr>
          <w:rFonts w:eastAsia="宋体" w:cs="Times New Roman"/>
          <w:iCs/>
        </w:rPr>
        <w:t>This alignment perspective helps move beyond a simplistic dichotomy between “technology” and “psychology.” In many educational discussions, technological competence is treated as external to the learner’s inner world, while affective variables are treated as purely internal. The present synthesis rejects that separation. AI literacy is psychologically meaningful because it shapes appraisal, control, and agency. Likewise, anxiety is technologically conditioned because it is partly produced by how AI environments structure feedback, transparency, and interaction. Such mutual shaping is precisely what makes the two source studies compatible.</w:t>
      </w:r>
    </w:p>
    <w:p w14:paraId="04FE12BA" w14:textId="77777777" w:rsidR="00E65E1A" w:rsidRPr="00E65E1A" w:rsidRDefault="00E65E1A" w:rsidP="00E65E1A">
      <w:pPr>
        <w:spacing w:after="120"/>
        <w:rPr>
          <w:rFonts w:eastAsia="宋体" w:cs="Times New Roman"/>
          <w:iCs/>
        </w:rPr>
      </w:pPr>
      <w:r w:rsidRPr="00E65E1A">
        <w:rPr>
          <w:rFonts w:eastAsia="宋体" w:cs="Times New Roman"/>
          <w:iCs/>
        </w:rPr>
        <w:t>3B. AI as an Affordance Structure for Language Learning</w:t>
      </w:r>
    </w:p>
    <w:p w14:paraId="2221181A" w14:textId="77777777" w:rsidR="00E65E1A" w:rsidRPr="00E65E1A" w:rsidRDefault="00E65E1A" w:rsidP="00E65E1A">
      <w:pPr>
        <w:spacing w:after="120"/>
        <w:rPr>
          <w:rFonts w:eastAsia="宋体" w:cs="Times New Roman"/>
          <w:iCs/>
        </w:rPr>
      </w:pPr>
      <w:r w:rsidRPr="00E65E1A">
        <w:rPr>
          <w:rFonts w:eastAsia="宋体" w:cs="Times New Roman"/>
          <w:iCs/>
        </w:rPr>
        <w:t>A further way to deepen the synthesis is to view AI not merely as a tool but as an affordance structure. In educational terms, an affordance is a possibility for action that emerges from the relationship between a learner and an environment. This way of thinking is helpful because it explains why the same AI system may have different effects for different learners. AI does not mechanically produce willingness to communicate. Rather, it offers opportunities that learners perceive, interpret, and use in different ways depending on literacy, confidence, and emotion.</w:t>
      </w:r>
    </w:p>
    <w:p w14:paraId="6AA66F90" w14:textId="77777777" w:rsidR="00E65E1A" w:rsidRPr="00E65E1A" w:rsidRDefault="00E65E1A" w:rsidP="00E65E1A">
      <w:pPr>
        <w:spacing w:after="120"/>
        <w:rPr>
          <w:rFonts w:eastAsia="宋体" w:cs="Times New Roman"/>
          <w:iCs/>
        </w:rPr>
      </w:pPr>
      <w:r w:rsidRPr="00E65E1A">
        <w:rPr>
          <w:rFonts w:eastAsia="宋体" w:cs="Times New Roman"/>
          <w:iCs/>
        </w:rPr>
        <w:t>The literature cited in Zhang et al. (2025) already points in this direction. Work on technology-enhanced willingness to communicate indicates that digital environments can increase opportunities for rehearsal, lower interactional pressure, and extend communication beyond the physical classroom (Huang &amp; Li, 2024; Lee, 2019; Lee &amp; Hsieh, 2019). At the same time, the uptake of these affordances depends on learner psychology. If a student perceives AI-based speaking practice as a safe rehearsal space, the affordance is enabling. If the student perceives it as confusing or evaluative, the affordance becomes constrained.</w:t>
      </w:r>
    </w:p>
    <w:p w14:paraId="0E12EA84" w14:textId="77777777" w:rsidR="00E65E1A" w:rsidRPr="00E65E1A" w:rsidRDefault="00E65E1A" w:rsidP="00E65E1A">
      <w:pPr>
        <w:spacing w:after="120"/>
        <w:rPr>
          <w:rFonts w:eastAsia="宋体" w:cs="Times New Roman"/>
          <w:iCs/>
        </w:rPr>
      </w:pPr>
      <w:r w:rsidRPr="00E65E1A">
        <w:rPr>
          <w:rFonts w:eastAsia="宋体" w:cs="Times New Roman"/>
          <w:iCs/>
        </w:rPr>
        <w:t>Zhao et al. (2022) strengthen this interpretation by showing that AI research is increasingly oriented toward affective computing, perception-sensitive design, and human–computer interaction. Their review suggests that AI systems become more meaningful when they can respond to human emotional and cognitive states. In the EFL domain, this means that the educational affordances of AI are not fixed properties. They are relational properties that depend on how well AI aligns with learners’ psychological processing. Such an account helps explain why the path from AI literacy to willingness to communicate is indirect: affordances must first be perceived as usable and non-threatening.</w:t>
      </w:r>
    </w:p>
    <w:p w14:paraId="06BB7F75" w14:textId="77777777" w:rsidR="00E65E1A" w:rsidRPr="00E65E1A" w:rsidRDefault="00E65E1A" w:rsidP="00E65E1A">
      <w:pPr>
        <w:spacing w:after="120"/>
        <w:rPr>
          <w:rFonts w:eastAsia="宋体" w:cs="Times New Roman"/>
          <w:iCs/>
        </w:rPr>
      </w:pPr>
      <w:r w:rsidRPr="00E65E1A">
        <w:rPr>
          <w:rFonts w:eastAsia="宋体" w:cs="Times New Roman"/>
          <w:iCs/>
        </w:rPr>
        <w:t>4. AI Learning Self-Efficacy as the Agentic Link</w:t>
      </w:r>
    </w:p>
    <w:p w14:paraId="62155324" w14:textId="77777777" w:rsidR="00E65E1A" w:rsidRPr="00E65E1A" w:rsidRDefault="00E65E1A" w:rsidP="00E65E1A">
      <w:pPr>
        <w:spacing w:after="120"/>
        <w:rPr>
          <w:rFonts w:eastAsia="宋体" w:cs="Times New Roman"/>
          <w:iCs/>
        </w:rPr>
      </w:pPr>
      <w:r w:rsidRPr="00E65E1A">
        <w:rPr>
          <w:rFonts w:eastAsia="宋体" w:cs="Times New Roman"/>
          <w:iCs/>
        </w:rPr>
        <w:t xml:space="preserve">Self-efficacy theory provides the most direct explanation for why AI literacy translates into willingness to communicate only through mediation. Self-efficacy refers to a person’s belief in their capability to perform specific tasks successfully (Bandura &amp; Wessels, 1997). In educational settings, self-efficacy shapes motivation, persistence, strategy use, and performance (Calaguas &amp; </w:t>
      </w:r>
      <w:proofErr w:type="spellStart"/>
      <w:r w:rsidRPr="00E65E1A">
        <w:rPr>
          <w:rFonts w:eastAsia="宋体" w:cs="Times New Roman"/>
          <w:iCs/>
        </w:rPr>
        <w:t>Consunji</w:t>
      </w:r>
      <w:proofErr w:type="spellEnd"/>
      <w:r w:rsidRPr="00E65E1A">
        <w:rPr>
          <w:rFonts w:eastAsia="宋体" w:cs="Times New Roman"/>
          <w:iCs/>
        </w:rPr>
        <w:t>, 2022; Liu et al., 2020). In AI-supported learning, this general construct becomes more specific: AI learning self-efficacy concerns learners’ confidence in using AI tools effectively for learning purposes (Wang &amp; Chuang, 2024).</w:t>
      </w:r>
    </w:p>
    <w:p w14:paraId="67236949" w14:textId="77777777" w:rsidR="00E65E1A" w:rsidRPr="00E65E1A" w:rsidRDefault="00E65E1A" w:rsidP="00E65E1A">
      <w:pPr>
        <w:spacing w:after="120"/>
        <w:rPr>
          <w:rFonts w:eastAsia="宋体" w:cs="Times New Roman"/>
          <w:iCs/>
        </w:rPr>
      </w:pPr>
      <w:r w:rsidRPr="00E65E1A">
        <w:rPr>
          <w:rFonts w:eastAsia="宋体" w:cs="Times New Roman"/>
          <w:iCs/>
        </w:rPr>
        <w:t>Zhang et al. (2025) found that AI literacy strongly predicted AI learning self-efficacy, and that self-efficacy positively predicted willingness to communicate while also reducing anxiety. This pattern suggests that self-efficacy functions as the key agentic link between knowing about AI and acting through AI-supported language learning. Learners who understand AI tools are more likely to believe they can use them successfully; once that belief is formed, they become more willing to take communicative risks, practice speaking, and engage in interaction.</w:t>
      </w:r>
    </w:p>
    <w:p w14:paraId="548B1439" w14:textId="77777777" w:rsidR="00E65E1A" w:rsidRPr="00E65E1A" w:rsidRDefault="00E65E1A" w:rsidP="00E65E1A">
      <w:pPr>
        <w:spacing w:after="120"/>
        <w:rPr>
          <w:rFonts w:eastAsia="宋体" w:cs="Times New Roman"/>
          <w:iCs/>
        </w:rPr>
      </w:pPr>
      <w:r w:rsidRPr="00E65E1A">
        <w:rPr>
          <w:rFonts w:eastAsia="宋体" w:cs="Times New Roman"/>
          <w:iCs/>
        </w:rPr>
        <w:t xml:space="preserve">Recent literature supports this interpretation. AI-related self-efficacy has been shown to influence behavioral intention, learning behavior, and psychological adjustment in AI contexts (Chen et al., 2024; Kim &amp; Kim, 2024; </w:t>
      </w:r>
      <w:r w:rsidRPr="00E65E1A">
        <w:rPr>
          <w:rFonts w:eastAsia="宋体" w:cs="Times New Roman"/>
          <w:iCs/>
        </w:rPr>
        <w:lastRenderedPageBreak/>
        <w:t xml:space="preserve">Wang et al., 2024). In foreign language learning, self-efficacy is also closely associated with performance, emotional regulation, and lower anxiety (Jin et al., 2024; </w:t>
      </w:r>
      <w:proofErr w:type="spellStart"/>
      <w:r w:rsidRPr="00E65E1A">
        <w:rPr>
          <w:rFonts w:eastAsia="宋体" w:cs="Times New Roman"/>
          <w:iCs/>
        </w:rPr>
        <w:t>Kutuk</w:t>
      </w:r>
      <w:proofErr w:type="spellEnd"/>
      <w:r w:rsidRPr="00E65E1A">
        <w:rPr>
          <w:rFonts w:eastAsia="宋体" w:cs="Times New Roman"/>
          <w:iCs/>
        </w:rPr>
        <w:t xml:space="preserve"> et al., 2022). These strands of research converge on a common principle: competence beliefs mediate the relationship between resources and outcomes. Resources such as training, literacy, or technological affordances do not automatically lead to effective action. They become behaviorally meaningful when learners believe they can mobilize them successfully.</w:t>
      </w:r>
    </w:p>
    <w:p w14:paraId="7693AE76" w14:textId="77777777" w:rsidR="00E65E1A" w:rsidRPr="00E65E1A" w:rsidRDefault="00E65E1A" w:rsidP="00E65E1A">
      <w:pPr>
        <w:spacing w:after="120"/>
        <w:rPr>
          <w:rFonts w:eastAsia="宋体" w:cs="Times New Roman"/>
          <w:iCs/>
        </w:rPr>
      </w:pPr>
      <w:r w:rsidRPr="00E65E1A">
        <w:rPr>
          <w:rFonts w:eastAsia="宋体" w:cs="Times New Roman"/>
          <w:iCs/>
        </w:rPr>
        <w:t>In AI-enhanced EFL learning, this process may be especially pronounced because AI tools alter the perceived demands of communication. On one side, AI can lower barriers by providing rehearsal, feedback, translation support, and reduced social pressure. On the other side, it can raise uncertainty because learners may fear making mistakes, misusing tools, misunderstanding automated feedback, or becoming dependent on technology. AI learning self-efficacy helps determine which interpretation dominates. When confidence is high, AI is more likely to be perceived as a scaffold for communication. When confidence is low, the same environment may feel cognitively crowded or emotionally risky.</w:t>
      </w:r>
    </w:p>
    <w:p w14:paraId="1A98EA51" w14:textId="77777777" w:rsidR="00E65E1A" w:rsidRPr="00E65E1A" w:rsidRDefault="00E65E1A" w:rsidP="00E65E1A">
      <w:pPr>
        <w:spacing w:after="120"/>
        <w:rPr>
          <w:rFonts w:eastAsia="宋体" w:cs="Times New Roman"/>
          <w:iCs/>
        </w:rPr>
      </w:pPr>
      <w:r w:rsidRPr="00E65E1A">
        <w:rPr>
          <w:rFonts w:eastAsia="宋体" w:cs="Times New Roman"/>
          <w:iCs/>
        </w:rPr>
        <w:t>Zhao et al. (2022) indirectly reinforce the importance of this construct. Their review suggests that effective AI must attend to human advanced cognition, including perception, emotion, and decision making. Self-efficacy belongs precisely at this intersection. It is a cognitive judgment with emotional consequences. It shapes attention, interpretation of difficulty, and persistence. A learner with higher AI learning self-efficacy may perceive AI-generated correction as helpful information, whereas a learner with lower self-efficacy may read the same feedback as evidence of inadequacy. Thus, self-efficacy is not merely one variable among others; it is the psychological mechanism through which AI becomes either enabling or inhibiting.</w:t>
      </w:r>
    </w:p>
    <w:p w14:paraId="7761EC3B" w14:textId="77777777" w:rsidR="00E65E1A" w:rsidRPr="00E65E1A" w:rsidRDefault="00E65E1A" w:rsidP="00E65E1A">
      <w:pPr>
        <w:spacing w:after="120"/>
        <w:rPr>
          <w:rFonts w:eastAsia="宋体" w:cs="Times New Roman"/>
          <w:iCs/>
        </w:rPr>
      </w:pPr>
      <w:r w:rsidRPr="00E65E1A">
        <w:rPr>
          <w:rFonts w:eastAsia="宋体" w:cs="Times New Roman"/>
          <w:iCs/>
        </w:rPr>
        <w:t xml:space="preserve">This is why AI literacy alone cannot predict willingness to communicate. Literacy provides knowledge; self-efficacy provides agency. Without the latter, technological competence remains inert from a communicative perspective. A psychologically informed approach to AI-supported EFL learning must therefore design not only for skill acquisition but also for mastery experiences, transparent feedback, guided success, and other sources of self-efficacy development (Chou, 2001; </w:t>
      </w:r>
      <w:proofErr w:type="spellStart"/>
      <w:r w:rsidRPr="00E65E1A">
        <w:rPr>
          <w:rFonts w:eastAsia="宋体" w:cs="Times New Roman"/>
          <w:iCs/>
        </w:rPr>
        <w:t>Yesilyurt</w:t>
      </w:r>
      <w:proofErr w:type="spellEnd"/>
      <w:r w:rsidRPr="00E65E1A">
        <w:rPr>
          <w:rFonts w:eastAsia="宋体" w:cs="Times New Roman"/>
          <w:iCs/>
        </w:rPr>
        <w:t xml:space="preserve"> et al., 2016).</w:t>
      </w:r>
    </w:p>
    <w:p w14:paraId="02B0863A" w14:textId="77777777" w:rsidR="00E65E1A" w:rsidRPr="00E65E1A" w:rsidRDefault="00E65E1A" w:rsidP="00E65E1A">
      <w:pPr>
        <w:spacing w:after="120"/>
        <w:rPr>
          <w:rFonts w:eastAsia="宋体" w:cs="Times New Roman"/>
          <w:iCs/>
        </w:rPr>
      </w:pPr>
      <w:r w:rsidRPr="00E65E1A">
        <w:rPr>
          <w:rFonts w:eastAsia="宋体" w:cs="Times New Roman"/>
          <w:iCs/>
        </w:rPr>
        <w:t>4A. Reframing Self-Efficacy in AI-Supported Communication</w:t>
      </w:r>
    </w:p>
    <w:p w14:paraId="491A1D09" w14:textId="77777777" w:rsidR="00E65E1A" w:rsidRPr="00E65E1A" w:rsidRDefault="00E65E1A" w:rsidP="00E65E1A">
      <w:pPr>
        <w:spacing w:after="120"/>
        <w:rPr>
          <w:rFonts w:eastAsia="宋体" w:cs="Times New Roman"/>
          <w:iCs/>
        </w:rPr>
      </w:pPr>
      <w:r w:rsidRPr="00E65E1A">
        <w:rPr>
          <w:rFonts w:eastAsia="宋体" w:cs="Times New Roman"/>
          <w:iCs/>
        </w:rPr>
        <w:t>The role of self-efficacy deserves even more emphasis because it is easy to treat it as a generic positive predictor without unpacking its specific relevance to AI-supported communication. In conventional language learning, self-efficacy often refers to learners’ confidence in performing language tasks such as speaking, reading, or writing. AI learning self-efficacy is different in that it refers to confidence in learning with and through AI. This distinction matters because it introduces a layered competence structure. A learner may have moderate English-speaking self-efficacy but low AI learning self-efficacy, or vice versa. The combination of these beliefs may produce different patterns of behavior.</w:t>
      </w:r>
    </w:p>
    <w:p w14:paraId="09D8C46E" w14:textId="77777777" w:rsidR="00E65E1A" w:rsidRPr="00E65E1A" w:rsidRDefault="00E65E1A" w:rsidP="00E65E1A">
      <w:pPr>
        <w:spacing w:after="120"/>
        <w:rPr>
          <w:rFonts w:eastAsia="宋体" w:cs="Times New Roman"/>
          <w:iCs/>
        </w:rPr>
      </w:pPr>
      <w:r w:rsidRPr="00E65E1A">
        <w:rPr>
          <w:rFonts w:eastAsia="宋体" w:cs="Times New Roman"/>
          <w:iCs/>
        </w:rPr>
        <w:t>For example, a learner who is reasonably confident in English but uncertain about AI may avoid AI-supported communicative tasks because the technological interface itself is stressful. Another learner may be comfortable experimenting with AI but lack confidence in speaking, using AI mainly as a private support rather than as a bridge to communication. These scenarios suggest that AI learning self-efficacy may interact with language self-efficacy in nuanced ways. Zhang et al. (2025) do not measure both simultaneously, but their results imply that AI-specific confidence is powerful enough to shape communicative willingness in its own right.</w:t>
      </w:r>
    </w:p>
    <w:p w14:paraId="5BF4787D" w14:textId="77777777" w:rsidR="00E65E1A" w:rsidRPr="00E65E1A" w:rsidRDefault="00E65E1A" w:rsidP="00E65E1A">
      <w:pPr>
        <w:spacing w:after="120"/>
        <w:rPr>
          <w:rFonts w:eastAsia="宋体" w:cs="Times New Roman"/>
          <w:iCs/>
        </w:rPr>
      </w:pPr>
      <w:r w:rsidRPr="00E65E1A">
        <w:rPr>
          <w:rFonts w:eastAsia="宋体" w:cs="Times New Roman"/>
          <w:iCs/>
        </w:rPr>
        <w:t>This raises an important theoretical point. In AI-enhanced EFL learning, self-efficacy should be treated as layered rather than singular. One layer concerns confidence in using AI tools. Another concerns confidence in communicating in English. A third may concern confidence in learning autonomously in technologically mediated environments. The source literature cited by Zhang et al. (2025) supports the broader logic that self-efficacy is domain- and task-specific (Liu et al., 2020). Building on that idea, future models could test whether AI learning self-efficacy precedes gains in English-speaking self-efficacy or whether the relationship is reciprocal.</w:t>
      </w:r>
    </w:p>
    <w:p w14:paraId="4CBF4D05" w14:textId="77777777" w:rsidR="00E65E1A" w:rsidRPr="00E65E1A" w:rsidRDefault="00E65E1A" w:rsidP="00E65E1A">
      <w:pPr>
        <w:spacing w:after="120"/>
        <w:rPr>
          <w:rFonts w:eastAsia="宋体" w:cs="Times New Roman"/>
          <w:iCs/>
        </w:rPr>
      </w:pPr>
      <w:r w:rsidRPr="00E65E1A">
        <w:rPr>
          <w:rFonts w:eastAsia="宋体" w:cs="Times New Roman"/>
          <w:iCs/>
        </w:rPr>
        <w:lastRenderedPageBreak/>
        <w:t>From a cognitive-psychological standpoint, layered self-efficacy also makes sense because human action in technologically complex settings requires coordination of multiple belief systems. Zhao et al. (2022) emphasize that advanced cognition includes perception, reasoning, emotion, and decision making. Self-efficacy functions across these domains by shaping what learners attend to, how they evaluate task difficulty, and whether they persist. In AI-supported communication, then, self-efficacy is not just a motivational add-on; it is the organizing judgment that determines whether AI is experienced as a support for voice or an additional burden.</w:t>
      </w:r>
    </w:p>
    <w:p w14:paraId="61FA8B16" w14:textId="77777777" w:rsidR="00E65E1A" w:rsidRPr="00E65E1A" w:rsidRDefault="00E65E1A" w:rsidP="00E65E1A">
      <w:pPr>
        <w:spacing w:after="120"/>
        <w:rPr>
          <w:rFonts w:eastAsia="宋体" w:cs="Times New Roman"/>
          <w:iCs/>
        </w:rPr>
      </w:pPr>
      <w:r w:rsidRPr="00E65E1A">
        <w:rPr>
          <w:rFonts w:eastAsia="宋体" w:cs="Times New Roman"/>
          <w:iCs/>
        </w:rPr>
        <w:t>5. Foreign Language Classroom Anxiety in AI-Enhanced Contexts</w:t>
      </w:r>
    </w:p>
    <w:p w14:paraId="63B6B5C3" w14:textId="77777777" w:rsidR="00E65E1A" w:rsidRPr="00E65E1A" w:rsidRDefault="00E65E1A" w:rsidP="00E65E1A">
      <w:pPr>
        <w:spacing w:after="120"/>
        <w:rPr>
          <w:rFonts w:eastAsia="宋体" w:cs="Times New Roman"/>
          <w:iCs/>
        </w:rPr>
      </w:pPr>
      <w:r w:rsidRPr="00E65E1A">
        <w:rPr>
          <w:rFonts w:eastAsia="宋体" w:cs="Times New Roman"/>
          <w:iCs/>
        </w:rPr>
        <w:t xml:space="preserve">If self-efficacy is the agentic pathway that enables communication, anxiety is the emotional pathway that constrains it. Foreign language classroom anxiety has long been recognized as a major inhibitor of language participation, performance, and willingness to communicate (Dewaele, 2019; Dewaele &amp; </w:t>
      </w:r>
      <w:proofErr w:type="spellStart"/>
      <w:r w:rsidRPr="00E65E1A">
        <w:rPr>
          <w:rFonts w:eastAsia="宋体" w:cs="Times New Roman"/>
          <w:iCs/>
        </w:rPr>
        <w:t>MacIntyre</w:t>
      </w:r>
      <w:proofErr w:type="spellEnd"/>
      <w:r w:rsidRPr="00E65E1A">
        <w:rPr>
          <w:rFonts w:eastAsia="宋体" w:cs="Times New Roman"/>
          <w:iCs/>
        </w:rPr>
        <w:t xml:space="preserve">, 2014; </w:t>
      </w:r>
      <w:proofErr w:type="spellStart"/>
      <w:r w:rsidRPr="00E65E1A">
        <w:rPr>
          <w:rFonts w:eastAsia="宋体" w:cs="Times New Roman"/>
          <w:iCs/>
        </w:rPr>
        <w:t>MacIntyre</w:t>
      </w:r>
      <w:proofErr w:type="spellEnd"/>
      <w:r w:rsidRPr="00E65E1A">
        <w:rPr>
          <w:rFonts w:eastAsia="宋体" w:cs="Times New Roman"/>
          <w:iCs/>
        </w:rPr>
        <w:t>, 1999). Zhang et al. (2025) extend this insight to AI-enhanced EFL contexts by showing that AI literacy negatively predicts anxiety and that anxiety negatively predicts willingness to communicate. Moreover, anxiety mediates the relationship between AI literacy and communicative willingness, both independently and in sequence with self-efficacy.</w:t>
      </w:r>
    </w:p>
    <w:p w14:paraId="7367F3D2" w14:textId="77777777" w:rsidR="00E65E1A" w:rsidRPr="00E65E1A" w:rsidRDefault="00E65E1A" w:rsidP="00E65E1A">
      <w:pPr>
        <w:spacing w:after="120"/>
        <w:rPr>
          <w:rFonts w:eastAsia="宋体" w:cs="Times New Roman"/>
          <w:iCs/>
        </w:rPr>
      </w:pPr>
      <w:r w:rsidRPr="00E65E1A">
        <w:rPr>
          <w:rFonts w:eastAsia="宋体" w:cs="Times New Roman"/>
          <w:iCs/>
        </w:rPr>
        <w:t>This is an important contribution because AI can plausibly influence anxiety in contradictory ways. On the positive side, AI may reduce social pressure by offering private practice, immediate feedback, and opportunities for repetition before public performance. Learners who fear judgment from teachers or peers may feel safer interacting first with AI systems. This interpretation is consistent with studies showing that AI-mediated interactions can support speaking skills and communicative willingness (Fathi et al., 2024) and that AI-supported speaking environments can be associated with enjoyment and communicative orientation (Huang &amp; Zou, 2024).</w:t>
      </w:r>
    </w:p>
    <w:p w14:paraId="7601B466" w14:textId="77777777" w:rsidR="00E65E1A" w:rsidRPr="00E65E1A" w:rsidRDefault="00E65E1A" w:rsidP="00E65E1A">
      <w:pPr>
        <w:spacing w:after="120"/>
        <w:rPr>
          <w:rFonts w:eastAsia="宋体" w:cs="Times New Roman"/>
          <w:iCs/>
        </w:rPr>
      </w:pPr>
      <w:r w:rsidRPr="00E65E1A">
        <w:rPr>
          <w:rFonts w:eastAsia="宋体" w:cs="Times New Roman"/>
          <w:iCs/>
        </w:rPr>
        <w:t>On the negative side, AI may also create new forms of anxiety. Learners may worry about whether they are using tools correctly, whether AI responses are accurate, whether their own language ability is being exposed by comparison with machine output, or whether they are becoming overly dependent on automated support. Emerging research suggests that AI-powered classrooms can evoke mixed emotional experiences ranging from excitement to anxiety (Xin &amp; Derakhshan, 2025). This complexity means that anxiety in AI-enhanced learning is not simply a carryover from conventional classrooms; it may be reconfigured by the technological environment itself.</w:t>
      </w:r>
    </w:p>
    <w:p w14:paraId="3A72A9A9" w14:textId="77777777" w:rsidR="00E65E1A" w:rsidRPr="00E65E1A" w:rsidRDefault="00E65E1A" w:rsidP="00E65E1A">
      <w:pPr>
        <w:spacing w:after="120"/>
        <w:rPr>
          <w:rFonts w:eastAsia="宋体" w:cs="Times New Roman"/>
          <w:iCs/>
        </w:rPr>
      </w:pPr>
      <w:r w:rsidRPr="00E65E1A">
        <w:rPr>
          <w:rFonts w:eastAsia="宋体" w:cs="Times New Roman"/>
          <w:iCs/>
        </w:rPr>
        <w:t>The findings of Zhang et al. (2025) indicate that AI literacy helps reduce this anxiety. A plausible explanation is that learners who better understand AI experience less uncertainty and less threat. They can interpret AI feedback more accurately, judge its limitations more realistically, and use it more strategically. However, the influence of AI literacy on anxiety is not purely informational. It is also tied to confidence. Their serial mediation result suggests that higher AI literacy boosts self-efficacy, which in turn lowers anxiety, which then supports willingness to communicate. This sequence is theoretically coherent because self-efficacy often shapes whether challenging tasks are appraised as manageable or threatening (Bandura &amp; Wessels, 1997; Jin et al., 2024).</w:t>
      </w:r>
    </w:p>
    <w:p w14:paraId="5BE394EE" w14:textId="77777777" w:rsidR="00E65E1A" w:rsidRPr="00E65E1A" w:rsidRDefault="00E65E1A" w:rsidP="00E65E1A">
      <w:pPr>
        <w:spacing w:after="120"/>
        <w:rPr>
          <w:rFonts w:eastAsia="宋体" w:cs="Times New Roman"/>
          <w:iCs/>
        </w:rPr>
      </w:pPr>
      <w:r w:rsidRPr="00E65E1A">
        <w:rPr>
          <w:rFonts w:eastAsia="宋体" w:cs="Times New Roman"/>
          <w:iCs/>
        </w:rPr>
        <w:t>Here again Zhao et al. (2022) help deepen interpretation. Their review emphasizes that AI research increasingly recognizes emotion as central to meaningful human–computer interaction. Affective computing, emotion recognition, and psychologically responsive systems are presented not as optional additions but as important directions for AI development. Applied to EFL learning, this means that AI environments should not be viewed as neutral channels for content delivery. They are emotionally coded spaces. The tone of feedback, level of transparency, interaction design, and perceived responsiveness of AI may all influence whether learners feel supported or threatened.</w:t>
      </w:r>
    </w:p>
    <w:p w14:paraId="44D554D0" w14:textId="77777777" w:rsidR="00E65E1A" w:rsidRPr="00E65E1A" w:rsidRDefault="00E65E1A" w:rsidP="00E65E1A">
      <w:pPr>
        <w:spacing w:after="120"/>
        <w:rPr>
          <w:rFonts w:eastAsia="宋体" w:cs="Times New Roman"/>
          <w:iCs/>
        </w:rPr>
      </w:pPr>
      <w:r w:rsidRPr="00E65E1A">
        <w:rPr>
          <w:rFonts w:eastAsia="宋体" w:cs="Times New Roman"/>
          <w:iCs/>
        </w:rPr>
        <w:t xml:space="preserve">This point is highly relevant for classroom design. If AI is introduced without emotional scaffolding, it may intensify rather than reduce anxiety for some learners. Students with weaker language backgrounds, lower self-confidence, or limited AI experience may interpret AI-assisted tasks as new forms of evaluation. Thus, the </w:t>
      </w:r>
      <w:r w:rsidRPr="00E65E1A">
        <w:rPr>
          <w:rFonts w:eastAsia="宋体" w:cs="Times New Roman"/>
          <w:iCs/>
        </w:rPr>
        <w:lastRenderedPageBreak/>
        <w:t>pedagogical challenge is not only to give access to AI, but to shape AI use in ways that foster emotional safety. Transparent task instructions, guided practice, teacher mediation, and low-stakes communicative rehearsal may help ensure that AI functions as an anxiety-reducing scaffold rather than an anxiety-inducing pressure source.</w:t>
      </w:r>
    </w:p>
    <w:p w14:paraId="47238E0C" w14:textId="77777777" w:rsidR="00E65E1A" w:rsidRPr="00E65E1A" w:rsidRDefault="00E65E1A" w:rsidP="00E65E1A">
      <w:pPr>
        <w:spacing w:after="120"/>
        <w:rPr>
          <w:rFonts w:eastAsia="宋体" w:cs="Times New Roman"/>
          <w:iCs/>
        </w:rPr>
      </w:pPr>
      <w:r w:rsidRPr="00E65E1A">
        <w:rPr>
          <w:rFonts w:eastAsia="宋体" w:cs="Times New Roman"/>
          <w:iCs/>
        </w:rPr>
        <w:t>5A. Anxiety as More Than a Deficit Variable</w:t>
      </w:r>
    </w:p>
    <w:p w14:paraId="3A0D3E13" w14:textId="77777777" w:rsidR="00E65E1A" w:rsidRPr="00E65E1A" w:rsidRDefault="00E65E1A" w:rsidP="00E65E1A">
      <w:pPr>
        <w:spacing w:after="120"/>
        <w:rPr>
          <w:rFonts w:eastAsia="宋体" w:cs="Times New Roman"/>
          <w:iCs/>
        </w:rPr>
      </w:pPr>
      <w:r w:rsidRPr="00E65E1A">
        <w:rPr>
          <w:rFonts w:eastAsia="宋体" w:cs="Times New Roman"/>
          <w:iCs/>
        </w:rPr>
        <w:t>Anxiety is often discussed in educational literature as a negative force to be minimized, and there is strong evidence for its inhibitory role in language learning (Amirian et al., 2022; Dewaele, 2019). Yet in AI-enhanced contexts, anxiety may be more analytically complex than a straightforward deficit variable. Part of its value in the present synthesis is diagnostic: anxiety reveals where the alignment between learner and environment is breaking down.</w:t>
      </w:r>
    </w:p>
    <w:p w14:paraId="29131EF8" w14:textId="77777777" w:rsidR="00E65E1A" w:rsidRPr="00E65E1A" w:rsidRDefault="00E65E1A" w:rsidP="00E65E1A">
      <w:pPr>
        <w:spacing w:after="120"/>
        <w:rPr>
          <w:rFonts w:eastAsia="宋体" w:cs="Times New Roman"/>
          <w:iCs/>
        </w:rPr>
      </w:pPr>
      <w:r w:rsidRPr="00E65E1A">
        <w:rPr>
          <w:rFonts w:eastAsia="宋体" w:cs="Times New Roman"/>
          <w:iCs/>
        </w:rPr>
        <w:t>When learners experience elevated anxiety in AI-supported language tasks, the cause may not simply be low ability or emotional fragility. It may also reflect opacity of the system, lack of guidance, inconsistent feedback, or uncertainty about norms of acceptable AI use. In other words, anxiety can serve as an indicator of poor psychological design. This is where the insights of Zhao et al. (2022) become especially useful. Their argument that AI must move toward richer recognition of human subjective states implies that emotionally insensitive AI systems are limited not only technically but educationally. In an EFL classroom, insensitive AI design can manifest as abrupt corrections, unexplained scoring, excessive automation, or interaction patterns that provide little sense of learner control.</w:t>
      </w:r>
    </w:p>
    <w:p w14:paraId="5D97CF2F" w14:textId="77777777" w:rsidR="00E65E1A" w:rsidRPr="00E65E1A" w:rsidRDefault="00E65E1A" w:rsidP="00E65E1A">
      <w:pPr>
        <w:spacing w:after="120"/>
        <w:rPr>
          <w:rFonts w:eastAsia="宋体" w:cs="Times New Roman"/>
          <w:iCs/>
        </w:rPr>
      </w:pPr>
      <w:r w:rsidRPr="00E65E1A">
        <w:rPr>
          <w:rFonts w:eastAsia="宋体" w:cs="Times New Roman"/>
          <w:iCs/>
        </w:rPr>
        <w:t>Thus, reducing anxiety should not be understood solely as teaching learners to cope better. It should also involve redesigning AI-supported tasks so that learners have clearer orientation, more interpretable feedback, and more opportunities for gradual participation. This expands the educational meaning of the findings reported by Zhang et al. (2025). Their mediation results are not only about learner psychology; they are also indirect evidence that AI environments need emotionally informed implementation.</w:t>
      </w:r>
    </w:p>
    <w:p w14:paraId="23F415AB" w14:textId="77777777" w:rsidR="00E65E1A" w:rsidRPr="00E65E1A" w:rsidRDefault="00E65E1A" w:rsidP="00E65E1A">
      <w:pPr>
        <w:spacing w:after="120"/>
        <w:rPr>
          <w:rFonts w:eastAsia="宋体" w:cs="Times New Roman"/>
          <w:iCs/>
        </w:rPr>
      </w:pPr>
    </w:p>
    <w:p w14:paraId="65F0018F" w14:textId="77777777" w:rsidR="00E65E1A" w:rsidRPr="00E65E1A" w:rsidRDefault="00E65E1A" w:rsidP="00E65E1A">
      <w:pPr>
        <w:spacing w:after="120"/>
        <w:rPr>
          <w:rFonts w:eastAsia="宋体" w:cs="Times New Roman"/>
          <w:iCs/>
        </w:rPr>
      </w:pPr>
      <w:r w:rsidRPr="00E65E1A">
        <w:rPr>
          <w:rFonts w:eastAsia="宋体" w:cs="Times New Roman"/>
          <w:iCs/>
        </w:rPr>
        <w:t>6. Willingness to Communicate as a Situated Outcome</w:t>
      </w:r>
    </w:p>
    <w:p w14:paraId="4378ACE1" w14:textId="77777777" w:rsidR="00E65E1A" w:rsidRPr="00E65E1A" w:rsidRDefault="00E65E1A" w:rsidP="00E65E1A">
      <w:pPr>
        <w:spacing w:after="120"/>
        <w:rPr>
          <w:rFonts w:eastAsia="宋体" w:cs="Times New Roman"/>
          <w:iCs/>
        </w:rPr>
      </w:pPr>
      <w:r w:rsidRPr="00E65E1A">
        <w:rPr>
          <w:rFonts w:eastAsia="宋体" w:cs="Times New Roman"/>
          <w:iCs/>
        </w:rPr>
        <w:t xml:space="preserve">Willingness to communicate occupies a central place in language education because it links psychological readiness with actual participation. Learners may possess linguistic knowledge, but without readiness to initiate or sustain interaction, that knowledge remains underused. Research has consistently shown that willingness to communicate is shaped by motivation, emotions, context, perceived competence, and interactional opportunities (Baker &amp; </w:t>
      </w:r>
      <w:proofErr w:type="spellStart"/>
      <w:r w:rsidRPr="00E65E1A">
        <w:rPr>
          <w:rFonts w:eastAsia="宋体" w:cs="Times New Roman"/>
          <w:iCs/>
        </w:rPr>
        <w:t>MacIntyre</w:t>
      </w:r>
      <w:proofErr w:type="spellEnd"/>
      <w:r w:rsidRPr="00E65E1A">
        <w:rPr>
          <w:rFonts w:eastAsia="宋体" w:cs="Times New Roman"/>
          <w:iCs/>
        </w:rPr>
        <w:t>, 2000; Lee &amp; Chiu, 2023; Weda et al., 2021; Zare et al., 2022). In AI-enhanced EFL learning, willingness to communicate becomes even more complex because the communicative environment now includes not only teachers and peers, but also AI systems as mediating partners, rehearsal spaces, and feedback agents.</w:t>
      </w:r>
    </w:p>
    <w:p w14:paraId="078D1D17" w14:textId="77777777" w:rsidR="00E65E1A" w:rsidRPr="00E65E1A" w:rsidRDefault="00E65E1A" w:rsidP="00E65E1A">
      <w:pPr>
        <w:spacing w:after="120"/>
        <w:rPr>
          <w:rFonts w:eastAsia="宋体" w:cs="Times New Roman"/>
          <w:iCs/>
        </w:rPr>
      </w:pPr>
      <w:r w:rsidRPr="00E65E1A">
        <w:rPr>
          <w:rFonts w:eastAsia="宋体" w:cs="Times New Roman"/>
          <w:iCs/>
        </w:rPr>
        <w:t>Zhang et al. (2025) provide strong evidence that willingness to communicate in AI-supported EFL contexts is not a direct product of AI literacy. Rather, it is the endpoint of a situated psychological process. Learners’ understanding of AI influences their confidence and emotional comfort, and these in turn shape their readiness to communicate. This model reframes willingness to communicate as a situated outcome of human–technology interaction rather than as a stable personal trait or purely language-specific disposition.</w:t>
      </w:r>
    </w:p>
    <w:p w14:paraId="4BA1BDAB" w14:textId="77777777" w:rsidR="00E65E1A" w:rsidRPr="00E65E1A" w:rsidRDefault="00E65E1A" w:rsidP="00E65E1A">
      <w:pPr>
        <w:spacing w:after="120"/>
        <w:rPr>
          <w:rFonts w:eastAsia="宋体" w:cs="Times New Roman"/>
          <w:iCs/>
        </w:rPr>
      </w:pPr>
      <w:r w:rsidRPr="00E65E1A">
        <w:rPr>
          <w:rFonts w:eastAsia="宋体" w:cs="Times New Roman"/>
          <w:iCs/>
        </w:rPr>
        <w:t>This view is consistent with the broader literature on technology-enhanced willingness to communicate. Reviews and empirical studies have suggested that digital environments can either strengthen or weaken willingness to communicate depending on how they structure interaction, feedback, autonomy, and affective experience (Huang &amp; Li, 2024; Hsieh et al., 2023; Lee, 2019; Lee &amp; Hsieh, 2019). AI intensifies this conditionality because it can personalize practice, simulate conversation, and reduce response delay, but it can also reshape norms of accuracy, speed, and evaluation.</w:t>
      </w:r>
    </w:p>
    <w:p w14:paraId="16F61972" w14:textId="77777777" w:rsidR="00E65E1A" w:rsidRPr="00E65E1A" w:rsidRDefault="00E65E1A" w:rsidP="00E65E1A">
      <w:pPr>
        <w:spacing w:after="120"/>
        <w:rPr>
          <w:rFonts w:eastAsia="宋体" w:cs="Times New Roman"/>
          <w:iCs/>
        </w:rPr>
      </w:pPr>
      <w:r w:rsidRPr="00E65E1A">
        <w:rPr>
          <w:rFonts w:eastAsia="宋体" w:cs="Times New Roman"/>
          <w:iCs/>
        </w:rPr>
        <w:t xml:space="preserve">A cognitive-psychological perspective helps explain why willingness to communicate is so context-sensitive in </w:t>
      </w:r>
      <w:r w:rsidRPr="00E65E1A">
        <w:rPr>
          <w:rFonts w:eastAsia="宋体" w:cs="Times New Roman"/>
          <w:iCs/>
        </w:rPr>
        <w:lastRenderedPageBreak/>
        <w:t>AI settings. Zhao et al. (2022) emphasize that advanced AI should account for attention, emotion, and human subjective states. Communication is precisely one of the domains where such states matter most. Deciding to speak is rarely a purely rational calculation. It involves risk appraisal, expectation, emotional regulation, and social interpretation. In language classrooms, willingness to communicate emerges when learners perceive the environment as sufficiently safe, meaningful, and manageable. If AI systems can be designed or used in ways that enhance these perceptions, then they may indirectly strengthen communication. If not, their technical sophistication may have little communicative value.</w:t>
      </w:r>
    </w:p>
    <w:p w14:paraId="7A3AF976" w14:textId="77777777" w:rsidR="00E65E1A" w:rsidRPr="00E65E1A" w:rsidRDefault="00E65E1A" w:rsidP="00E65E1A">
      <w:pPr>
        <w:spacing w:after="120"/>
        <w:rPr>
          <w:rFonts w:eastAsia="宋体" w:cs="Times New Roman"/>
          <w:iCs/>
        </w:rPr>
      </w:pPr>
      <w:r w:rsidRPr="00E65E1A">
        <w:rPr>
          <w:rFonts w:eastAsia="宋体" w:cs="Times New Roman"/>
          <w:iCs/>
        </w:rPr>
        <w:t>This insight also helps explain why communicative willingness may differ across AI-supported activities. A learner may be willing to communicate with an AI chatbot, less willing to speak in front of peers, and differently willing to engage in teacher-led discussion after AI-assisted preparation. The communicative ecology of AI-enhanced learning is therefore layered. Willingness to communicate should be understood as distributed across settings rather than as a single undifferentiated tendency. This raises an important research agenda: future studies should distinguish willingness to communicate with AI, willingness to communicate after AI-supported preparation, and willingness to communicate in human interaction within AI-mediated classrooms. Such distinctions are already hinted at in recent work on speaking with AI and technology-enhanced communicative contexts (Fathi et al., 2024; Huang &amp; Zou, 2024).</w:t>
      </w:r>
    </w:p>
    <w:p w14:paraId="438115E8" w14:textId="77777777" w:rsidR="00E65E1A" w:rsidRPr="00E65E1A" w:rsidRDefault="00E65E1A" w:rsidP="00E65E1A">
      <w:pPr>
        <w:spacing w:after="120"/>
        <w:rPr>
          <w:rFonts w:eastAsia="宋体" w:cs="Times New Roman"/>
          <w:iCs/>
        </w:rPr>
      </w:pPr>
      <w:r w:rsidRPr="00E65E1A">
        <w:rPr>
          <w:rFonts w:eastAsia="宋体" w:cs="Times New Roman"/>
          <w:iCs/>
        </w:rPr>
        <w:t>Accordingly, the contribution of AI literacy may depend on which communicative context is being considered. AI literacy may have stronger effects on willingness to communicate in AI-mediated or AI-supported settings than in fully face-to-face interaction unless teachers deliberately transfer gains from one context to another. This suggests that willingness to communicate should not only be measured, but decomposed contextually. A cognitive-psychological framework encourages such decomposition because it treats interaction as arising from the fit between learner beliefs, emotional states, and environmental affordances.</w:t>
      </w:r>
    </w:p>
    <w:p w14:paraId="4A3250A7" w14:textId="77777777" w:rsidR="00E65E1A" w:rsidRPr="00E65E1A" w:rsidRDefault="00E65E1A" w:rsidP="00E65E1A">
      <w:pPr>
        <w:spacing w:after="120"/>
        <w:rPr>
          <w:rFonts w:eastAsia="宋体" w:cs="Times New Roman"/>
          <w:iCs/>
        </w:rPr>
      </w:pPr>
      <w:r w:rsidRPr="00E65E1A">
        <w:rPr>
          <w:rFonts w:eastAsia="宋体" w:cs="Times New Roman"/>
          <w:iCs/>
        </w:rPr>
        <w:t>6A. Human–Computer Interaction and the Future of EFL Communication</w:t>
      </w:r>
    </w:p>
    <w:p w14:paraId="074CFBAD" w14:textId="77777777" w:rsidR="00E65E1A" w:rsidRPr="00E65E1A" w:rsidRDefault="00E65E1A" w:rsidP="00E65E1A">
      <w:pPr>
        <w:spacing w:after="120"/>
        <w:rPr>
          <w:rFonts w:eastAsia="宋体" w:cs="Times New Roman"/>
          <w:iCs/>
        </w:rPr>
      </w:pPr>
      <w:r w:rsidRPr="00E65E1A">
        <w:rPr>
          <w:rFonts w:eastAsia="宋体" w:cs="Times New Roman"/>
          <w:iCs/>
        </w:rPr>
        <w:t>One of the most valuable ideas in Zhao et al. (2022) is that AI development increasingly concerns the quality of human–computer interaction. Their review of affective computing, face-related perception, and music emotion may seem distant from EFL education, but it points to a crucial principle: interaction with intelligent systems is never only informational. It is experiential. Learners respond to tone, pacing, perceived agency, immediacy, and emotional resonance. These qualities are already known to shape classroom communication among humans, and there is no reason to assume they disappear when AI enters the interactional space.</w:t>
      </w:r>
    </w:p>
    <w:p w14:paraId="2F5FC9A1" w14:textId="77777777" w:rsidR="00E65E1A" w:rsidRPr="00E65E1A" w:rsidRDefault="00E65E1A" w:rsidP="00E65E1A">
      <w:pPr>
        <w:spacing w:after="120"/>
        <w:rPr>
          <w:rFonts w:eastAsia="宋体" w:cs="Times New Roman"/>
          <w:iCs/>
        </w:rPr>
      </w:pPr>
      <w:r w:rsidRPr="00E65E1A">
        <w:rPr>
          <w:rFonts w:eastAsia="宋体" w:cs="Times New Roman"/>
          <w:iCs/>
        </w:rPr>
        <w:t>In fact, AI may amplify them. A conversational agent that feels responsive and nonjudgmental may make learners more willing to practice speaking. A feedback system that is accurate but cold or overly corrective may discourage experimentation. An AI tool that offers multiple attempts, visible rationale, and supportive prompts may strengthen self-efficacy. A tool that produces impressive but opaque outputs may generate dependence and insecurity instead. These possibilities align with the broader educational literature suggesting that learners’ emotions and perceptions of the environment strongly shape communicative participation (Lee &amp; Chiu, 2023; Wang et al., 2024).</w:t>
      </w:r>
    </w:p>
    <w:p w14:paraId="08C6FEA8" w14:textId="77777777" w:rsidR="00E65E1A" w:rsidRPr="00E65E1A" w:rsidRDefault="00E65E1A" w:rsidP="00E65E1A">
      <w:pPr>
        <w:spacing w:after="120"/>
        <w:rPr>
          <w:rFonts w:eastAsia="宋体" w:cs="Times New Roman"/>
          <w:iCs/>
        </w:rPr>
      </w:pPr>
      <w:r w:rsidRPr="00E65E1A">
        <w:rPr>
          <w:rFonts w:eastAsia="宋体" w:cs="Times New Roman"/>
          <w:iCs/>
        </w:rPr>
        <w:t>This is why the human–computer interaction perspective should be brought more explicitly into AI-enhanced EFL research. Willingness to communicate is not only influenced by linguistic and psychological variables; it is also shaped by interface experience. Studies comparing AI systems with different interactional designs could help show whether communicative willingness is especially sensitive to features such as perceived empathy, response framing, controllability, and transparency. Such work would directly operationalize the interdisciplinary promise identified by Zhao et al. (2022) within language education.</w:t>
      </w:r>
    </w:p>
    <w:p w14:paraId="55242C5A" w14:textId="77777777" w:rsidR="00E65E1A" w:rsidRPr="00E65E1A" w:rsidRDefault="00E65E1A" w:rsidP="00E65E1A">
      <w:pPr>
        <w:spacing w:after="120"/>
        <w:rPr>
          <w:rFonts w:eastAsia="宋体" w:cs="Times New Roman"/>
          <w:iCs/>
        </w:rPr>
      </w:pPr>
      <w:r w:rsidRPr="00E65E1A">
        <w:rPr>
          <w:rFonts w:eastAsia="宋体" w:cs="Times New Roman"/>
          <w:iCs/>
        </w:rPr>
        <w:t>7. A Cognitive-Psychological Framework for AI-Enhanced EFL Communication</w:t>
      </w:r>
    </w:p>
    <w:p w14:paraId="67C650CF" w14:textId="77777777" w:rsidR="00E65E1A" w:rsidRPr="00E65E1A" w:rsidRDefault="00E65E1A" w:rsidP="00E65E1A">
      <w:pPr>
        <w:spacing w:after="120"/>
        <w:rPr>
          <w:rFonts w:eastAsia="宋体" w:cs="Times New Roman"/>
          <w:iCs/>
        </w:rPr>
      </w:pPr>
      <w:r w:rsidRPr="00E65E1A">
        <w:rPr>
          <w:rFonts w:eastAsia="宋体" w:cs="Times New Roman"/>
          <w:iCs/>
        </w:rPr>
        <w:t>On the basis of the two source publications and the broader literature they cite, this paper proposes a cognitive-</w:t>
      </w:r>
      <w:r w:rsidRPr="00E65E1A">
        <w:rPr>
          <w:rFonts w:eastAsia="宋体" w:cs="Times New Roman"/>
          <w:iCs/>
        </w:rPr>
        <w:lastRenderedPageBreak/>
        <w:t>psychological framework for understanding communicative readiness in AI-enhanced EFL learning. The framework centers on four constructs: AI literacy, AI learning self-efficacy, foreign language classroom anxiety, and willingness to communicate. It also adds one contextual principle derived especially from Zhao et al. (2022): the psychological responsiveness of AI environments matters for how these constructs relate.</w:t>
      </w:r>
    </w:p>
    <w:p w14:paraId="3E17066B" w14:textId="77777777" w:rsidR="00E65E1A" w:rsidRPr="00E65E1A" w:rsidRDefault="00E65E1A" w:rsidP="00E65E1A">
      <w:pPr>
        <w:spacing w:after="120"/>
        <w:rPr>
          <w:rFonts w:eastAsia="宋体" w:cs="Times New Roman"/>
          <w:iCs/>
        </w:rPr>
      </w:pPr>
      <w:r w:rsidRPr="00E65E1A">
        <w:rPr>
          <w:rFonts w:eastAsia="宋体" w:cs="Times New Roman"/>
          <w:iCs/>
        </w:rPr>
        <w:t xml:space="preserve">At the first stage, AI literacy functions as a foundational cognitive resource. Learners with higher AI literacy are better able to understand the logic, affordances, and limits of AI tools (Allen &amp; </w:t>
      </w:r>
      <w:proofErr w:type="spellStart"/>
      <w:r w:rsidRPr="00E65E1A">
        <w:rPr>
          <w:rFonts w:eastAsia="宋体" w:cs="Times New Roman"/>
          <w:iCs/>
        </w:rPr>
        <w:t>Kendeou</w:t>
      </w:r>
      <w:proofErr w:type="spellEnd"/>
      <w:r w:rsidRPr="00E65E1A">
        <w:rPr>
          <w:rFonts w:eastAsia="宋体" w:cs="Times New Roman"/>
          <w:iCs/>
        </w:rPr>
        <w:t>, 2024; Dai et al., 2020). This reduces uncertainty and improves strategic use. However, AI literacy alone does not ensure communicative engagement, as shown by the non-significant direct path reported by Zhang et al. (2025).</w:t>
      </w:r>
    </w:p>
    <w:p w14:paraId="145DFBF5" w14:textId="77777777" w:rsidR="00E65E1A" w:rsidRPr="00E65E1A" w:rsidRDefault="00E65E1A" w:rsidP="00E65E1A">
      <w:pPr>
        <w:spacing w:after="120"/>
        <w:rPr>
          <w:rFonts w:eastAsia="宋体" w:cs="Times New Roman"/>
          <w:iCs/>
        </w:rPr>
      </w:pPr>
      <w:r w:rsidRPr="00E65E1A">
        <w:rPr>
          <w:rFonts w:eastAsia="宋体" w:cs="Times New Roman"/>
          <w:iCs/>
        </w:rPr>
        <w:t>At the second stage, AI literacy influences AI learning self-efficacy. As learners gain clearer understanding and successful experience with AI, they are more likely to believe they can use it effectively in language learning (Gumus et al., 2024; Wang &amp; Chuang, 2024). This self-efficacy is not merely confidence in technology use; it is confidence in mobilizing AI for communicative learning tasks.</w:t>
      </w:r>
    </w:p>
    <w:p w14:paraId="7497AB9C" w14:textId="77777777" w:rsidR="00E65E1A" w:rsidRPr="00E65E1A" w:rsidRDefault="00E65E1A" w:rsidP="00E65E1A">
      <w:pPr>
        <w:spacing w:after="120"/>
        <w:rPr>
          <w:rFonts w:eastAsia="宋体" w:cs="Times New Roman"/>
          <w:iCs/>
        </w:rPr>
      </w:pPr>
      <w:r w:rsidRPr="00E65E1A">
        <w:rPr>
          <w:rFonts w:eastAsia="宋体" w:cs="Times New Roman"/>
          <w:iCs/>
        </w:rPr>
        <w:t>At the third stage, self-efficacy and AI literacy jointly shape anxiety. Learners who understand AI and trust their ability to use it are less likely to experience AI-supported language learning as threatening or confusing. They may still encounter normal language anxiety, but its intensity is reduced because the environment feels more manageable (Chen et al., 2024; Jin et al., 2024; Zhang et al., 2025).</w:t>
      </w:r>
    </w:p>
    <w:p w14:paraId="799F760E" w14:textId="77777777" w:rsidR="00E65E1A" w:rsidRPr="00E65E1A" w:rsidRDefault="00E65E1A" w:rsidP="00E65E1A">
      <w:pPr>
        <w:spacing w:after="120"/>
        <w:rPr>
          <w:rFonts w:eastAsia="宋体" w:cs="Times New Roman"/>
          <w:iCs/>
        </w:rPr>
      </w:pPr>
      <w:r w:rsidRPr="00E65E1A">
        <w:rPr>
          <w:rFonts w:eastAsia="宋体" w:cs="Times New Roman"/>
          <w:iCs/>
        </w:rPr>
        <w:t>At the fourth stage, willingness to communicate emerges as the behavioral outcome of this cognitive-affective configuration. Higher self-efficacy and lower anxiety increase the probability that learners will speak, interact, and participate in communicative tasks (Dewaele, 2019; Hejazi et al., 2023; Zhang et al., 2025).</w:t>
      </w:r>
    </w:p>
    <w:p w14:paraId="7580F6FC" w14:textId="77777777" w:rsidR="00E65E1A" w:rsidRPr="00E65E1A" w:rsidRDefault="00E65E1A" w:rsidP="00E65E1A">
      <w:pPr>
        <w:spacing w:after="120"/>
        <w:rPr>
          <w:rFonts w:eastAsia="宋体" w:cs="Times New Roman"/>
          <w:iCs/>
        </w:rPr>
      </w:pPr>
      <w:r w:rsidRPr="00E65E1A">
        <w:rPr>
          <w:rFonts w:eastAsia="宋体" w:cs="Times New Roman"/>
          <w:iCs/>
        </w:rPr>
        <w:t>The novel contribution of the present synthesis lies in adding a contextual layer: psychologically responsive AI design. Zhao et al. (2022) argue that AI systems informed by cognitive psychology are more capable of meaningful interaction because they account for emotion, perception, and subjective human states. Applied to EFL learning, this means that the same level of AI literacy may lead to different outcomes depending on whether the AI environment is experienced as transparent, supportive, adaptive, and emotionally safe. In a psychologically responsive environment, AI literacy is more likely to strengthen self-efficacy and reduce anxiety. In a psychologically unresponsive environment, even literate learners may feel frustration, overload, or alienation.</w:t>
      </w:r>
    </w:p>
    <w:p w14:paraId="6F902425" w14:textId="77777777" w:rsidR="00E65E1A" w:rsidRPr="00E65E1A" w:rsidRDefault="00E65E1A" w:rsidP="00E65E1A">
      <w:pPr>
        <w:spacing w:after="120"/>
        <w:rPr>
          <w:rFonts w:eastAsia="宋体" w:cs="Times New Roman"/>
          <w:iCs/>
        </w:rPr>
      </w:pPr>
      <w:r w:rsidRPr="00E65E1A">
        <w:rPr>
          <w:rFonts w:eastAsia="宋体" w:cs="Times New Roman"/>
          <w:iCs/>
        </w:rPr>
        <w:t>This leads to three propositions.</w:t>
      </w:r>
    </w:p>
    <w:p w14:paraId="07C7905D" w14:textId="77777777" w:rsidR="00E65E1A" w:rsidRPr="00E65E1A" w:rsidRDefault="00E65E1A" w:rsidP="00E65E1A">
      <w:pPr>
        <w:spacing w:after="120"/>
        <w:rPr>
          <w:rFonts w:eastAsia="宋体" w:cs="Times New Roman"/>
          <w:iCs/>
        </w:rPr>
      </w:pPr>
      <w:r w:rsidRPr="00E65E1A">
        <w:rPr>
          <w:rFonts w:eastAsia="宋体" w:cs="Times New Roman"/>
          <w:iCs/>
        </w:rPr>
        <w:t>Proposition 1: AI literacy influences willingness to communicate primarily through psychologically internalized pathways rather than through direct technological competence. In practical terms, the communicative value of AI literacy depends on whether learners convert knowledge into agentic confidence.</w:t>
      </w:r>
    </w:p>
    <w:p w14:paraId="0DF9E913" w14:textId="77777777" w:rsidR="00E65E1A" w:rsidRPr="00E65E1A" w:rsidRDefault="00E65E1A" w:rsidP="00E65E1A">
      <w:pPr>
        <w:spacing w:after="120"/>
        <w:rPr>
          <w:rFonts w:eastAsia="宋体" w:cs="Times New Roman"/>
          <w:iCs/>
        </w:rPr>
      </w:pPr>
      <w:r w:rsidRPr="00E65E1A">
        <w:rPr>
          <w:rFonts w:eastAsia="宋体" w:cs="Times New Roman"/>
          <w:iCs/>
        </w:rPr>
        <w:t>Proposition 2: AI learning self-efficacy and foreign language classroom anxiety form a linked mediational sequence in AI-enhanced EFL learning. Self-efficacy not only promotes communication directly but also reframes AI-supported learning as less threatening, thereby reducing anxiety.</w:t>
      </w:r>
    </w:p>
    <w:p w14:paraId="476F349A" w14:textId="77777777" w:rsidR="00E65E1A" w:rsidRPr="00E65E1A" w:rsidRDefault="00E65E1A" w:rsidP="00E65E1A">
      <w:pPr>
        <w:spacing w:after="120"/>
        <w:rPr>
          <w:rFonts w:eastAsia="宋体" w:cs="Times New Roman"/>
          <w:iCs/>
        </w:rPr>
      </w:pPr>
      <w:r w:rsidRPr="00E65E1A">
        <w:rPr>
          <w:rFonts w:eastAsia="宋体" w:cs="Times New Roman"/>
          <w:iCs/>
        </w:rPr>
        <w:t>Proposition 3: The psychological responsiveness of AI-supported learning environments moderates the strength of these pathways. Environments that provide transparent feedback, low-stakes practice, emotional support, and human-centered interaction are more likely to translate AI literacy into willingness to communicate.</w:t>
      </w:r>
    </w:p>
    <w:p w14:paraId="1041C25A" w14:textId="77777777" w:rsidR="00E65E1A" w:rsidRPr="00E65E1A" w:rsidRDefault="00E65E1A" w:rsidP="00E65E1A">
      <w:pPr>
        <w:spacing w:after="120"/>
        <w:rPr>
          <w:rFonts w:eastAsia="宋体" w:cs="Times New Roman"/>
          <w:iCs/>
        </w:rPr>
      </w:pPr>
      <w:r w:rsidRPr="00E65E1A">
        <w:rPr>
          <w:rFonts w:eastAsia="宋体" w:cs="Times New Roman"/>
          <w:iCs/>
        </w:rPr>
        <w:t>These propositions extend the empirical contribution of Zhang et al. (2025) by embedding their model in a broader theory of AI as psychologically interactive rather than merely functional. They also translate the interdisciplinary insights of Zhao et al. (2022) into an educational domain where communication, confidence, and emotion are tightly intertwined.</w:t>
      </w:r>
    </w:p>
    <w:p w14:paraId="45C9B855" w14:textId="77777777" w:rsidR="00E65E1A" w:rsidRPr="00E65E1A" w:rsidRDefault="00E65E1A" w:rsidP="00E65E1A">
      <w:pPr>
        <w:spacing w:after="120"/>
        <w:rPr>
          <w:rFonts w:eastAsia="宋体" w:cs="Times New Roman"/>
          <w:iCs/>
        </w:rPr>
      </w:pPr>
      <w:r w:rsidRPr="00E65E1A">
        <w:rPr>
          <w:rFonts w:eastAsia="宋体" w:cs="Times New Roman"/>
          <w:iCs/>
        </w:rPr>
        <w:t>Table 1 Research and pedagogical agenda derived from the synthesis</w:t>
      </w:r>
    </w:p>
    <w:p w14:paraId="66B17336" w14:textId="77777777" w:rsidR="00E65E1A" w:rsidRPr="00E65E1A" w:rsidRDefault="00E65E1A" w:rsidP="00E65E1A">
      <w:pPr>
        <w:spacing w:after="120"/>
        <w:rPr>
          <w:rFonts w:eastAsia="宋体" w:cs="Times New Roman"/>
          <w:iCs/>
        </w:rPr>
      </w:pPr>
      <w:r w:rsidRPr="00E65E1A">
        <w:rPr>
          <w:rFonts w:eastAsia="宋体" w:cs="Times New Roman"/>
          <w:iCs/>
        </w:rPr>
        <w:t>Priority area</w:t>
      </w:r>
      <w:r w:rsidRPr="00E65E1A">
        <w:rPr>
          <w:rFonts w:eastAsia="宋体" w:cs="Times New Roman"/>
          <w:iCs/>
        </w:rPr>
        <w:tab/>
        <w:t>Main issue</w:t>
      </w:r>
      <w:r w:rsidRPr="00E65E1A">
        <w:rPr>
          <w:rFonts w:eastAsia="宋体" w:cs="Times New Roman"/>
          <w:iCs/>
        </w:rPr>
        <w:tab/>
        <w:t>Illustrative questions</w:t>
      </w:r>
      <w:r w:rsidRPr="00E65E1A">
        <w:rPr>
          <w:rFonts w:eastAsia="宋体" w:cs="Times New Roman"/>
          <w:iCs/>
        </w:rPr>
        <w:tab/>
        <w:t>Pedagogical implication</w:t>
      </w:r>
    </w:p>
    <w:p w14:paraId="409DD2C2" w14:textId="77777777" w:rsidR="00E65E1A" w:rsidRPr="00E65E1A" w:rsidRDefault="00E65E1A" w:rsidP="00E65E1A">
      <w:pPr>
        <w:spacing w:after="120"/>
        <w:rPr>
          <w:rFonts w:eastAsia="宋体" w:cs="Times New Roman"/>
          <w:iCs/>
        </w:rPr>
      </w:pPr>
      <w:r w:rsidRPr="00E65E1A">
        <w:rPr>
          <w:rFonts w:eastAsia="宋体" w:cs="Times New Roman"/>
          <w:iCs/>
        </w:rPr>
        <w:lastRenderedPageBreak/>
        <w:t>AI literacy</w:t>
      </w:r>
      <w:r w:rsidRPr="00E65E1A">
        <w:rPr>
          <w:rFonts w:eastAsia="宋体" w:cs="Times New Roman"/>
          <w:iCs/>
        </w:rPr>
        <w:tab/>
        <w:t>Need to move beyond tool operation toward critical, strategic, and socio-affective readiness</w:t>
      </w:r>
      <w:r w:rsidRPr="00E65E1A">
        <w:rPr>
          <w:rFonts w:eastAsia="宋体" w:cs="Times New Roman"/>
          <w:iCs/>
        </w:rPr>
        <w:tab/>
        <w:t>Which dimensions of AI literacy most strongly predict self-efficacy and lower anxiety?</w:t>
      </w:r>
      <w:r w:rsidRPr="00E65E1A">
        <w:rPr>
          <w:rFonts w:eastAsia="宋体" w:cs="Times New Roman"/>
          <w:iCs/>
        </w:rPr>
        <w:tab/>
        <w:t>Teach learners how AI works, when to trust it, and how to use it critically for communication tasks.</w:t>
      </w:r>
    </w:p>
    <w:p w14:paraId="01AB24C9" w14:textId="77777777" w:rsidR="00E65E1A" w:rsidRPr="00E65E1A" w:rsidRDefault="00E65E1A" w:rsidP="00E65E1A">
      <w:pPr>
        <w:spacing w:after="120"/>
        <w:rPr>
          <w:rFonts w:eastAsia="宋体" w:cs="Times New Roman"/>
          <w:iCs/>
        </w:rPr>
      </w:pPr>
      <w:r w:rsidRPr="00E65E1A">
        <w:rPr>
          <w:rFonts w:eastAsia="宋体" w:cs="Times New Roman"/>
          <w:iCs/>
        </w:rPr>
        <w:t>Self-efficacy</w:t>
      </w:r>
      <w:r w:rsidRPr="00E65E1A">
        <w:rPr>
          <w:rFonts w:eastAsia="宋体" w:cs="Times New Roman"/>
          <w:iCs/>
        </w:rPr>
        <w:tab/>
        <w:t>Need to understand layered confidence in AI use and language use</w:t>
      </w:r>
      <w:r w:rsidRPr="00E65E1A">
        <w:rPr>
          <w:rFonts w:eastAsia="宋体" w:cs="Times New Roman"/>
          <w:iCs/>
        </w:rPr>
        <w:tab/>
        <w:t>How does AI learning self-efficacy interact with English-speaking self-efficacy over time?</w:t>
      </w:r>
      <w:r w:rsidRPr="00E65E1A">
        <w:rPr>
          <w:rFonts w:eastAsia="宋体" w:cs="Times New Roman"/>
          <w:iCs/>
        </w:rPr>
        <w:tab/>
        <w:t>Sequence tasks from guided success to independent communicative use.</w:t>
      </w:r>
    </w:p>
    <w:p w14:paraId="1DAEF15D" w14:textId="77777777" w:rsidR="00E65E1A" w:rsidRPr="00E65E1A" w:rsidRDefault="00E65E1A" w:rsidP="00E65E1A">
      <w:pPr>
        <w:spacing w:after="120"/>
        <w:rPr>
          <w:rFonts w:eastAsia="宋体" w:cs="Times New Roman"/>
          <w:iCs/>
        </w:rPr>
      </w:pPr>
      <w:r w:rsidRPr="00E65E1A">
        <w:rPr>
          <w:rFonts w:eastAsia="宋体" w:cs="Times New Roman"/>
          <w:iCs/>
        </w:rPr>
        <w:t>Anxiety</w:t>
      </w:r>
      <w:r w:rsidRPr="00E65E1A">
        <w:rPr>
          <w:rFonts w:eastAsia="宋体" w:cs="Times New Roman"/>
          <w:iCs/>
        </w:rPr>
        <w:tab/>
        <w:t>Need to identify which AI designs reduce or intensify emotional threat</w:t>
      </w:r>
      <w:r w:rsidRPr="00E65E1A">
        <w:rPr>
          <w:rFonts w:eastAsia="宋体" w:cs="Times New Roman"/>
          <w:iCs/>
        </w:rPr>
        <w:tab/>
        <w:t>Which forms of AI feedback feel supportive, and which feel evaluative or opaque?</w:t>
      </w:r>
      <w:r w:rsidRPr="00E65E1A">
        <w:rPr>
          <w:rFonts w:eastAsia="宋体" w:cs="Times New Roman"/>
          <w:iCs/>
        </w:rPr>
        <w:tab/>
        <w:t>Provide low-stakes practice, retries, teacher mediation, and transparent feedback routines.</w:t>
      </w:r>
    </w:p>
    <w:p w14:paraId="5B6E350F" w14:textId="77777777" w:rsidR="00E65E1A" w:rsidRPr="00E65E1A" w:rsidRDefault="00E65E1A" w:rsidP="00E65E1A">
      <w:pPr>
        <w:spacing w:after="120"/>
        <w:rPr>
          <w:rFonts w:eastAsia="宋体" w:cs="Times New Roman"/>
          <w:iCs/>
        </w:rPr>
      </w:pPr>
      <w:r w:rsidRPr="00E65E1A">
        <w:rPr>
          <w:rFonts w:eastAsia="宋体" w:cs="Times New Roman"/>
          <w:iCs/>
        </w:rPr>
        <w:t>Willingness to communicate</w:t>
      </w:r>
      <w:r w:rsidRPr="00E65E1A">
        <w:rPr>
          <w:rFonts w:eastAsia="宋体" w:cs="Times New Roman"/>
          <w:iCs/>
        </w:rPr>
        <w:tab/>
        <w:t>Need to distinguish willingness with AI, after AI preparation, and in human interaction</w:t>
      </w:r>
      <w:r w:rsidRPr="00E65E1A">
        <w:rPr>
          <w:rFonts w:eastAsia="宋体" w:cs="Times New Roman"/>
          <w:iCs/>
        </w:rPr>
        <w:tab/>
        <w:t>Do gains in AI-mediated practice transfer to peer and classroom speaking?</w:t>
      </w:r>
      <w:r w:rsidRPr="00E65E1A">
        <w:rPr>
          <w:rFonts w:eastAsia="宋体" w:cs="Times New Roman"/>
          <w:iCs/>
        </w:rPr>
        <w:tab/>
        <w:t>Use AI as a bridge to human communication rather than as a substitute for it.</w:t>
      </w:r>
    </w:p>
    <w:p w14:paraId="2DF65ABD" w14:textId="77777777" w:rsidR="00E65E1A" w:rsidRPr="00E65E1A" w:rsidRDefault="00E65E1A" w:rsidP="00E65E1A">
      <w:pPr>
        <w:spacing w:after="120"/>
        <w:rPr>
          <w:rFonts w:eastAsia="宋体" w:cs="Times New Roman"/>
          <w:iCs/>
        </w:rPr>
      </w:pPr>
    </w:p>
    <w:p w14:paraId="5F03D9C7" w14:textId="77777777" w:rsidR="00E65E1A" w:rsidRPr="00E65E1A" w:rsidRDefault="00E65E1A" w:rsidP="00E65E1A">
      <w:pPr>
        <w:spacing w:after="120"/>
        <w:rPr>
          <w:rFonts w:eastAsia="宋体" w:cs="Times New Roman"/>
          <w:iCs/>
        </w:rPr>
      </w:pPr>
      <w:r w:rsidRPr="00E65E1A">
        <w:rPr>
          <w:rFonts w:eastAsia="宋体" w:cs="Times New Roman"/>
          <w:iCs/>
        </w:rPr>
        <w:t>7A. A Research Agenda for the Next Phase of AI-Enhanced EFL Studies</w:t>
      </w:r>
    </w:p>
    <w:p w14:paraId="31C68E52" w14:textId="77777777" w:rsidR="00E65E1A" w:rsidRPr="00E65E1A" w:rsidRDefault="00E65E1A" w:rsidP="00E65E1A">
      <w:pPr>
        <w:spacing w:after="120"/>
        <w:rPr>
          <w:rFonts w:eastAsia="宋体" w:cs="Times New Roman"/>
          <w:iCs/>
        </w:rPr>
      </w:pPr>
      <w:r w:rsidRPr="00E65E1A">
        <w:rPr>
          <w:rFonts w:eastAsia="宋体" w:cs="Times New Roman"/>
          <w:iCs/>
        </w:rPr>
        <w:t xml:space="preserve">The current literature, including the two source publications, suggests that the field is at an early but promising stage. To move forward, research needs stronger conceptual integration. One priority is theoretical pluralism with discipline-specific clarity. Self-efficacy theory explains agency effectively, but it may need to be combined with models of affect, affordance, and human–computer interaction to capture the full complexity of AI-enhanced language learning. The literature already cited in the provided publications offers several entry points, including work on anxiety, digital contexts, emotional intelligence, and technology acceptance (Chen et al., 2024; Huang et al., 2024; </w:t>
      </w:r>
      <w:proofErr w:type="spellStart"/>
      <w:r w:rsidRPr="00E65E1A">
        <w:rPr>
          <w:rFonts w:eastAsia="宋体" w:cs="Times New Roman"/>
          <w:iCs/>
        </w:rPr>
        <w:t>Namaziandost</w:t>
      </w:r>
      <w:proofErr w:type="spellEnd"/>
      <w:r w:rsidRPr="00E65E1A">
        <w:rPr>
          <w:rFonts w:eastAsia="宋体" w:cs="Times New Roman"/>
          <w:iCs/>
        </w:rPr>
        <w:t xml:space="preserve"> &amp; Rezai, 2024).</w:t>
      </w:r>
    </w:p>
    <w:p w14:paraId="294EB044" w14:textId="77777777" w:rsidR="00E65E1A" w:rsidRPr="00E65E1A" w:rsidRDefault="00E65E1A" w:rsidP="00E65E1A">
      <w:pPr>
        <w:spacing w:after="120"/>
        <w:rPr>
          <w:rFonts w:eastAsia="宋体" w:cs="Times New Roman"/>
          <w:iCs/>
        </w:rPr>
      </w:pPr>
      <w:r w:rsidRPr="00E65E1A">
        <w:rPr>
          <w:rFonts w:eastAsia="宋体" w:cs="Times New Roman"/>
          <w:iCs/>
        </w:rPr>
        <w:t>A second priority is measurement refinement. If AI literacy is to become a major construct in EFL research, its indicators must reflect language-learning realities rather than generic technological competence. Similarly, measures of willingness to communicate should distinguish between readiness to speak with humans, readiness to speak with AI, and readiness to transfer AI-supported preparation into live communication. The empirical rigor of studies like Zhang et al. (2025) provides a strong foundation, but the next phase of research will likely require more differentiated constructs.</w:t>
      </w:r>
    </w:p>
    <w:p w14:paraId="4ACCD753" w14:textId="77777777" w:rsidR="00E65E1A" w:rsidRPr="00E65E1A" w:rsidRDefault="00E65E1A" w:rsidP="00E65E1A">
      <w:pPr>
        <w:spacing w:after="120"/>
        <w:rPr>
          <w:rFonts w:eastAsia="宋体" w:cs="Times New Roman"/>
          <w:iCs/>
        </w:rPr>
      </w:pPr>
      <w:r w:rsidRPr="00E65E1A">
        <w:rPr>
          <w:rFonts w:eastAsia="宋体" w:cs="Times New Roman"/>
          <w:iCs/>
        </w:rPr>
        <w:t>A third priority is intervention design. The literature often demonstrates associations, but educators need evidence about what kinds of AI-supported pedagogies actually improve communication. Do transparent feedback systems outperform black-box systems in fostering self-efficacy? Does low-stakes AI conversation practice reduce anxiety before peer discussion? Do structured reflection activities help learners convert AI literacy into more autonomous communicative behavior? These questions are practical, but they are also theoretically generative because they show how educational design can test psychological mechanisms.</w:t>
      </w:r>
    </w:p>
    <w:p w14:paraId="2F6D74F4" w14:textId="77777777" w:rsidR="00E65E1A" w:rsidRPr="00E65E1A" w:rsidRDefault="00E65E1A" w:rsidP="00E65E1A">
      <w:pPr>
        <w:spacing w:after="120"/>
        <w:rPr>
          <w:rFonts w:eastAsia="宋体" w:cs="Times New Roman"/>
          <w:iCs/>
        </w:rPr>
      </w:pPr>
      <w:r w:rsidRPr="00E65E1A">
        <w:rPr>
          <w:rFonts w:eastAsia="宋体" w:cs="Times New Roman"/>
          <w:iCs/>
        </w:rPr>
        <w:t>A fourth priority is ethical and relational inquiry. Although this paper focuses on communication, AI literacy and communicative readiness are also shaped by questions of trust, dependence, fairness, and appropriate use. Learners who distrust AI or worry about misuse may respond differently from those who treat AI as a normal academic partner. While the present synthesis does not develop a full ethical model, it suggests that psychological comfort with AI may partly depend on whether learners perceive AI use as pedagogically legitimate and personally controllable.</w:t>
      </w:r>
    </w:p>
    <w:p w14:paraId="152C7A67" w14:textId="77777777" w:rsidR="00E65E1A" w:rsidRPr="00E65E1A" w:rsidRDefault="00E65E1A" w:rsidP="00E65E1A">
      <w:pPr>
        <w:spacing w:after="120"/>
        <w:rPr>
          <w:rFonts w:eastAsia="宋体" w:cs="Times New Roman"/>
          <w:iCs/>
        </w:rPr>
      </w:pPr>
      <w:r w:rsidRPr="00E65E1A">
        <w:rPr>
          <w:rFonts w:eastAsia="宋体" w:cs="Times New Roman"/>
          <w:iCs/>
        </w:rPr>
        <w:t>8. Implications for Research</w:t>
      </w:r>
    </w:p>
    <w:p w14:paraId="66607903" w14:textId="77777777" w:rsidR="00E65E1A" w:rsidRPr="00E65E1A" w:rsidRDefault="00E65E1A" w:rsidP="00E65E1A">
      <w:pPr>
        <w:spacing w:after="120"/>
        <w:rPr>
          <w:rFonts w:eastAsia="宋体" w:cs="Times New Roman"/>
          <w:iCs/>
        </w:rPr>
      </w:pPr>
      <w:r w:rsidRPr="00E65E1A">
        <w:rPr>
          <w:rFonts w:eastAsia="宋体" w:cs="Times New Roman"/>
          <w:iCs/>
        </w:rPr>
        <w:t xml:space="preserve">The synthesized framework points toward several priorities for future research. First, researchers should conceptualize AI literacy more precisely in language education. Much existing work treats AI literacy as a general readiness or knowledge construct, but EFL contexts may require attention to domain-specific dimensions such as </w:t>
      </w:r>
      <w:r w:rsidRPr="00E65E1A">
        <w:rPr>
          <w:rFonts w:eastAsia="宋体" w:cs="Times New Roman"/>
          <w:iCs/>
        </w:rPr>
        <w:lastRenderedPageBreak/>
        <w:t>communicative use, feedback interpretation, ethical judgment, and dependence regulation. Studies could examine whether cognitive, metacognitive, and socio-affective components of AI literacy differentially predict self-efficacy and anxiety.</w:t>
      </w:r>
    </w:p>
    <w:p w14:paraId="1E0F5FC1" w14:textId="77777777" w:rsidR="00E65E1A" w:rsidRPr="00E65E1A" w:rsidRDefault="00E65E1A" w:rsidP="00E65E1A">
      <w:pPr>
        <w:spacing w:after="120"/>
        <w:rPr>
          <w:rFonts w:eastAsia="宋体" w:cs="Times New Roman"/>
          <w:iCs/>
        </w:rPr>
      </w:pPr>
      <w:r w:rsidRPr="00E65E1A">
        <w:rPr>
          <w:rFonts w:eastAsia="宋体" w:cs="Times New Roman"/>
          <w:iCs/>
        </w:rPr>
        <w:t>Second, future research should distinguish among types of willingness to communicate. As noted above, learners may differ in their willingness to communicate with AI, with peers, with teachers, or in public classroom tasks after AI-assisted preparation. These are related but not identical outcomes. Separating them would clarify whether AI literacy exerts stronger influence in some communicative settings than others and whether gains in AI-mediated communication transfer to human interaction.</w:t>
      </w:r>
    </w:p>
    <w:p w14:paraId="4ED925A9" w14:textId="77777777" w:rsidR="00E65E1A" w:rsidRPr="00E65E1A" w:rsidRDefault="00E65E1A" w:rsidP="00E65E1A">
      <w:pPr>
        <w:spacing w:after="120"/>
        <w:rPr>
          <w:rFonts w:eastAsia="宋体" w:cs="Times New Roman"/>
          <w:iCs/>
        </w:rPr>
      </w:pPr>
      <w:r w:rsidRPr="00E65E1A">
        <w:rPr>
          <w:rFonts w:eastAsia="宋体" w:cs="Times New Roman"/>
          <w:iCs/>
        </w:rPr>
        <w:t>Third, longitudinal designs are needed. Zhang et al. (2025) provide valuable cross-sectional evidence, but communicative readiness in AI-enhanced learning is likely developmental. Early exposure to AI may initially increase uncertainty, while later mastery may improve self-efficacy and reduce anxiety. A temporal design could test whether repeated successful interaction with AI produces cumulative confidence or whether some learners become more anxious as they confront higher expectations and more complex tasks.</w:t>
      </w:r>
    </w:p>
    <w:p w14:paraId="7B86A739" w14:textId="77777777" w:rsidR="00E65E1A" w:rsidRPr="00E65E1A" w:rsidRDefault="00E65E1A" w:rsidP="00E65E1A">
      <w:pPr>
        <w:spacing w:after="120"/>
        <w:rPr>
          <w:rFonts w:eastAsia="宋体" w:cs="Times New Roman"/>
          <w:iCs/>
        </w:rPr>
      </w:pPr>
      <w:r w:rsidRPr="00E65E1A">
        <w:rPr>
          <w:rFonts w:eastAsia="宋体" w:cs="Times New Roman"/>
          <w:iCs/>
        </w:rPr>
        <w:t>Fourth, the design characteristics of AI environments should be studied directly. Zhao et al. (2022) imply that emotionally and cognitively informed AI design is crucial, yet educational studies often operationalize AI simply as the presence of a tool. Future work should compare different AI-supported tasks or systems in terms of transparency, adaptivity, feedback tone, perceived control, and interactional realism. Such research would help clarify which features support self-efficacy and which features intensify anxiety.</w:t>
      </w:r>
    </w:p>
    <w:p w14:paraId="77CA25F2" w14:textId="77777777" w:rsidR="00E65E1A" w:rsidRPr="00E65E1A" w:rsidRDefault="00E65E1A" w:rsidP="00E65E1A">
      <w:pPr>
        <w:spacing w:after="120"/>
        <w:rPr>
          <w:rFonts w:eastAsia="宋体" w:cs="Times New Roman"/>
          <w:iCs/>
        </w:rPr>
      </w:pPr>
      <w:r w:rsidRPr="00E65E1A">
        <w:rPr>
          <w:rFonts w:eastAsia="宋体" w:cs="Times New Roman"/>
          <w:iCs/>
        </w:rPr>
        <w:t>Fifth, mixed-methods inquiry would be especially valuable. Quantitative models can estimate paths among AI literacy, self-efficacy, anxiety, and willingness to communicate, but qualitative data are needed to understand how learners actually interpret AI-supported experiences. Interviews, reflective journals, and classroom observation could reveal when AI feels like a supportive partner, when it feels like a silent evaluator, and how learners negotiate dependence, trust, and agency.</w:t>
      </w:r>
    </w:p>
    <w:p w14:paraId="211EB8DD" w14:textId="77777777" w:rsidR="00E65E1A" w:rsidRPr="00E65E1A" w:rsidRDefault="00E65E1A" w:rsidP="00E65E1A">
      <w:pPr>
        <w:spacing w:after="120"/>
        <w:rPr>
          <w:rFonts w:eastAsia="宋体" w:cs="Times New Roman"/>
          <w:iCs/>
        </w:rPr>
      </w:pPr>
      <w:r w:rsidRPr="00E65E1A">
        <w:rPr>
          <w:rFonts w:eastAsia="宋体" w:cs="Times New Roman"/>
          <w:iCs/>
        </w:rPr>
        <w:t>Finally, comparative research across learner groups is needed. The effects of AI literacy may differ by proficiency level, prior digital experience, educational culture, and task type. Studies of non-English majors, language majors, school learners, and adult learners may reveal different psychological pathways. Comparative designs would also test the generalizability of the current framework beyond the population examined by Zhang et al. (2025).</w:t>
      </w:r>
    </w:p>
    <w:p w14:paraId="32A6CB2E" w14:textId="77777777" w:rsidR="00E65E1A" w:rsidRPr="00E65E1A" w:rsidRDefault="00E65E1A" w:rsidP="00E65E1A">
      <w:pPr>
        <w:spacing w:after="120"/>
        <w:rPr>
          <w:rFonts w:eastAsia="宋体" w:cs="Times New Roman"/>
          <w:iCs/>
        </w:rPr>
      </w:pPr>
      <w:r w:rsidRPr="00E65E1A">
        <w:rPr>
          <w:rFonts w:eastAsia="宋体" w:cs="Times New Roman"/>
          <w:iCs/>
        </w:rPr>
        <w:t>9. Pedagogical Implications</w:t>
      </w:r>
    </w:p>
    <w:p w14:paraId="43CD75D5" w14:textId="77777777" w:rsidR="00E65E1A" w:rsidRPr="00E65E1A" w:rsidRDefault="00E65E1A" w:rsidP="00E65E1A">
      <w:pPr>
        <w:spacing w:after="120"/>
        <w:rPr>
          <w:rFonts w:eastAsia="宋体" w:cs="Times New Roman"/>
          <w:iCs/>
        </w:rPr>
      </w:pPr>
      <w:r w:rsidRPr="00E65E1A">
        <w:rPr>
          <w:rFonts w:eastAsia="宋体" w:cs="Times New Roman"/>
          <w:iCs/>
        </w:rPr>
        <w:t>The synthesis developed here has direct implications for AI-enhanced EFL instruction. The first is that AI literacy instruction should be integrated into communicative pedagogy rather than treated as a separate technical module. Teachers should help learners understand not only how to use AI tools but why, when, and with what limitations. This includes discussing the reliability of AI outputs, the strategic use of AI for rehearsal and feedback, and the importance of maintaining learner agency.</w:t>
      </w:r>
    </w:p>
    <w:p w14:paraId="3C2E4937" w14:textId="77777777" w:rsidR="00E65E1A" w:rsidRPr="00E65E1A" w:rsidRDefault="00E65E1A" w:rsidP="00E65E1A">
      <w:pPr>
        <w:spacing w:after="120"/>
        <w:rPr>
          <w:rFonts w:eastAsia="宋体" w:cs="Times New Roman"/>
          <w:iCs/>
        </w:rPr>
      </w:pPr>
      <w:r w:rsidRPr="00E65E1A">
        <w:rPr>
          <w:rFonts w:eastAsia="宋体" w:cs="Times New Roman"/>
          <w:iCs/>
        </w:rPr>
        <w:t>The second implication is that teachers should deliberately cultivate AI learning self-efficacy. This can be done by providing early mastery experiences, scaffolded tasks, and explicit modeling of AI use. Students who successfully complete manageable AI-supported speaking tasks are more likely to develop the confidence needed for later communication. Structured progression matters. Throwing learners directly into complex AI-supported tasks may undermine confidence, especially for those with limited experience.</w:t>
      </w:r>
    </w:p>
    <w:p w14:paraId="56BB9ED7" w14:textId="77777777" w:rsidR="00E65E1A" w:rsidRPr="00E65E1A" w:rsidRDefault="00E65E1A" w:rsidP="00E65E1A">
      <w:pPr>
        <w:spacing w:after="120"/>
        <w:rPr>
          <w:rFonts w:eastAsia="宋体" w:cs="Times New Roman"/>
          <w:iCs/>
        </w:rPr>
      </w:pPr>
      <w:r w:rsidRPr="00E65E1A">
        <w:rPr>
          <w:rFonts w:eastAsia="宋体" w:cs="Times New Roman"/>
          <w:iCs/>
        </w:rPr>
        <w:t>The third implication concerns anxiety-sensitive design. Because anxiety mediates communicative outcomes, teachers should treat emotional safety as a design principle. Low-stakes AI rehearsal, optional retries, guided interpretation of AI feedback, and teacher mediation can reduce the threat learners may perceive in AI-supported interaction. AI should be introduced as a support for experimentation rather than as a high-pressure performance monitor.</w:t>
      </w:r>
    </w:p>
    <w:p w14:paraId="76C99277" w14:textId="77777777" w:rsidR="00E65E1A" w:rsidRPr="00E65E1A" w:rsidRDefault="00E65E1A" w:rsidP="00E65E1A">
      <w:pPr>
        <w:spacing w:after="120"/>
        <w:rPr>
          <w:rFonts w:eastAsia="宋体" w:cs="Times New Roman"/>
          <w:iCs/>
        </w:rPr>
      </w:pPr>
      <w:r w:rsidRPr="00E65E1A">
        <w:rPr>
          <w:rFonts w:eastAsia="宋体" w:cs="Times New Roman"/>
          <w:iCs/>
        </w:rPr>
        <w:lastRenderedPageBreak/>
        <w:t>A fourth implication is that AI should be positioned as a bridge to human communication rather than a substitute for it. AI chatbots, speech tools, and automated feedback systems can offer valuable practice, but communicative competence ultimately requires transfer into interaction with peers and teachers. Pedagogy should therefore sequence AI-mediated rehearsal into human communication tasks. For example, students might first practice with AI, then complete pair discussion, then reflect on what AI support helped them feel more prepared to speak.</w:t>
      </w:r>
    </w:p>
    <w:p w14:paraId="2E04E2CE" w14:textId="77777777" w:rsidR="00E65E1A" w:rsidRPr="00E65E1A" w:rsidRDefault="00E65E1A" w:rsidP="00E65E1A">
      <w:pPr>
        <w:spacing w:after="120"/>
        <w:rPr>
          <w:rFonts w:eastAsia="宋体" w:cs="Times New Roman"/>
          <w:iCs/>
        </w:rPr>
      </w:pPr>
      <w:r w:rsidRPr="00E65E1A">
        <w:rPr>
          <w:rFonts w:eastAsia="宋体" w:cs="Times New Roman"/>
          <w:iCs/>
        </w:rPr>
        <w:t>A fifth implication comes from the cognitive psychology perspective emphasized by Zhao et al. (2022): AI-supported instruction should be human-centered in its design logic. This means choosing or adapting tools that are transparent, responsive, and psychologically manageable. Systems that overwhelm learners with opaque outputs or excessively evaluative feedback may be counterproductive. By contrast, systems that align with learners’ attention, pacing, and emotional needs are more likely to support confidence and communication.</w:t>
      </w:r>
    </w:p>
    <w:p w14:paraId="0C7DD12E" w14:textId="77777777" w:rsidR="00E65E1A" w:rsidRPr="00E65E1A" w:rsidRDefault="00E65E1A" w:rsidP="00E65E1A">
      <w:pPr>
        <w:spacing w:after="120"/>
        <w:rPr>
          <w:rFonts w:eastAsia="宋体" w:cs="Times New Roman"/>
          <w:iCs/>
        </w:rPr>
      </w:pPr>
      <w:r w:rsidRPr="00E65E1A">
        <w:rPr>
          <w:rFonts w:eastAsia="宋体" w:cs="Times New Roman"/>
          <w:iCs/>
        </w:rPr>
        <w:t>These implications also suggest a changing role for teachers. In AI-enhanced EFL classrooms, teachers are not displaced by technology. Rather, they become designers of psychologically meaningful mediation. Their role includes framing AI use, interpreting its outputs, regulating emotional climate, and ensuring that AI-supported activities ultimately serve communicative development rather than technological novelty.</w:t>
      </w:r>
    </w:p>
    <w:p w14:paraId="51CE8B1B" w14:textId="77777777" w:rsidR="00E65E1A" w:rsidRPr="00E65E1A" w:rsidRDefault="00E65E1A" w:rsidP="00E65E1A">
      <w:pPr>
        <w:spacing w:after="120"/>
        <w:rPr>
          <w:rFonts w:eastAsia="宋体" w:cs="Times New Roman"/>
          <w:iCs/>
        </w:rPr>
      </w:pPr>
      <w:r w:rsidRPr="00E65E1A">
        <w:rPr>
          <w:rFonts w:eastAsia="宋体" w:cs="Times New Roman"/>
          <w:iCs/>
        </w:rPr>
        <w:t>10. Limitations of the Present Paper</w:t>
      </w:r>
    </w:p>
    <w:p w14:paraId="7BBB69E4" w14:textId="77777777" w:rsidR="00E65E1A" w:rsidRPr="00E65E1A" w:rsidRDefault="00E65E1A" w:rsidP="00E65E1A">
      <w:pPr>
        <w:spacing w:after="120"/>
        <w:rPr>
          <w:rFonts w:eastAsia="宋体" w:cs="Times New Roman"/>
          <w:iCs/>
        </w:rPr>
      </w:pPr>
      <w:r w:rsidRPr="00E65E1A">
        <w:rPr>
          <w:rFonts w:eastAsia="宋体" w:cs="Times New Roman"/>
          <w:iCs/>
        </w:rPr>
        <w:t>This paper is a conceptual synthesis generated from two provided publications and the references contained within them. Its strength lies in theoretical integration, but that also defines its limitations. First, the paper does not introduce new empirical data. The framework proposed here remains interpretive and should therefore be tested through future research. Second, the source publications differ in genre and scope: one is an empirical EFL study and the other is a broad interdisciplinary review. Their synthesis is intellectually productive, but it necessarily involves selective reinterpretation. Third, because the paper deliberately restricts itself to citations appearing in the two provided publications, it does not engage the full range of potentially relevant scholarship. This was an intentional boundary of the task, but it means the framework should be regarded as grounded in a curated rather than exhaustive literature base.</w:t>
      </w:r>
    </w:p>
    <w:p w14:paraId="5FDA3CEC" w14:textId="77777777" w:rsidR="00E65E1A" w:rsidRPr="00E65E1A" w:rsidRDefault="00E65E1A" w:rsidP="00E65E1A">
      <w:pPr>
        <w:spacing w:after="120"/>
        <w:rPr>
          <w:rFonts w:eastAsia="宋体" w:cs="Times New Roman"/>
          <w:iCs/>
        </w:rPr>
      </w:pPr>
      <w:r w:rsidRPr="00E65E1A">
        <w:rPr>
          <w:rFonts w:eastAsia="宋体" w:cs="Times New Roman"/>
          <w:iCs/>
        </w:rPr>
        <w:t>Even so, these limitations do not reduce the value of the synthesis. On the contrary, they clarify its role. The paper should be understood as a theory-building exercise that translates two complementary publications into a coherent argument about AI-enhanced EFL communication. Its main contribution is to show that the relationship between AI and communication becomes clearer when technological competence, psychological agency, emotional regulation, and AI design are examined together rather than separately.</w:t>
      </w:r>
    </w:p>
    <w:p w14:paraId="5260158E" w14:textId="77777777" w:rsidR="00E65E1A" w:rsidRPr="00E65E1A" w:rsidRDefault="00E65E1A" w:rsidP="00E65E1A">
      <w:pPr>
        <w:spacing w:after="120"/>
        <w:rPr>
          <w:rFonts w:eastAsia="宋体" w:cs="Times New Roman"/>
          <w:iCs/>
        </w:rPr>
      </w:pPr>
      <w:r w:rsidRPr="00E65E1A">
        <w:rPr>
          <w:rFonts w:eastAsia="宋体" w:cs="Times New Roman"/>
          <w:iCs/>
        </w:rPr>
        <w:t>11. Conclusion</w:t>
      </w:r>
    </w:p>
    <w:p w14:paraId="4B27D109" w14:textId="77777777" w:rsidR="00E65E1A" w:rsidRPr="00E65E1A" w:rsidRDefault="00E65E1A" w:rsidP="00E65E1A">
      <w:pPr>
        <w:spacing w:after="120"/>
        <w:rPr>
          <w:rFonts w:eastAsia="宋体" w:cs="Times New Roman"/>
          <w:iCs/>
        </w:rPr>
      </w:pPr>
      <w:r w:rsidRPr="00E65E1A">
        <w:rPr>
          <w:rFonts w:eastAsia="宋体" w:cs="Times New Roman"/>
          <w:iCs/>
        </w:rPr>
        <w:t>This paper set out to generate a conceptual paper from two provided publications: Zhang et al. (2025), which empirically examined the relationship among AI literacy, AI learning self-efficacy, foreign language classroom anxiety, and willingness to communicate in AI-enhanced EFL learning, and Zhao et al. (2022), which argued that the future development of AI depends on deeper integration with cognitive psychology. The synthesis shows that these two works, when read together, offer a compelling framework for understanding communication in AI-supported language education.</w:t>
      </w:r>
    </w:p>
    <w:p w14:paraId="518B280D" w14:textId="77777777" w:rsidR="00E65E1A" w:rsidRPr="00E65E1A" w:rsidRDefault="00E65E1A" w:rsidP="00E65E1A">
      <w:pPr>
        <w:spacing w:after="120"/>
        <w:rPr>
          <w:rFonts w:eastAsia="宋体" w:cs="Times New Roman"/>
          <w:iCs/>
        </w:rPr>
      </w:pPr>
      <w:r w:rsidRPr="00E65E1A">
        <w:rPr>
          <w:rFonts w:eastAsia="宋体" w:cs="Times New Roman"/>
          <w:iCs/>
        </w:rPr>
        <w:t>The main conclusion is that AI literacy in EFL learning is psychologically consequential but not directly communicative. It strengthens willingness to communicate only when it is converted into self-efficacy and when it helps reduce anxiety. This mediated pattern supports a view of AI-enhanced language learning in which technology matters through human interpretation, confidence, and emotional regulation. The broader cognitive psychology perspective reinforces this conclusion by showing that AI systems become educationally meaningful when they engage human advanced cognition and affect rather than merely process information.</w:t>
      </w:r>
    </w:p>
    <w:p w14:paraId="628C5622" w14:textId="77777777" w:rsidR="00E65E1A" w:rsidRPr="00E65E1A" w:rsidRDefault="00E65E1A" w:rsidP="00E65E1A">
      <w:pPr>
        <w:spacing w:after="120"/>
        <w:rPr>
          <w:rFonts w:eastAsia="宋体" w:cs="Times New Roman"/>
          <w:iCs/>
        </w:rPr>
      </w:pPr>
      <w:r w:rsidRPr="00E65E1A">
        <w:rPr>
          <w:rFonts w:eastAsia="宋体" w:cs="Times New Roman"/>
          <w:iCs/>
        </w:rPr>
        <w:t xml:space="preserve">Accordingly, this paper proposed a cognitive-psychological framework in which AI literacy serves as a </w:t>
      </w:r>
      <w:r w:rsidRPr="00E65E1A">
        <w:rPr>
          <w:rFonts w:eastAsia="宋体" w:cs="Times New Roman"/>
          <w:iCs/>
        </w:rPr>
        <w:lastRenderedPageBreak/>
        <w:t>foundational cognitive resource, AI learning self-efficacy serves as the agentic mechanism, foreign language classroom anxiety serves as the emotional constraint, and willingness to communicate serves as the situated communicative outcome. It further argued that psychologically responsive AI environments strengthen these pathways by making AI use more transparent, manageable, and emotionally supportive.</w:t>
      </w:r>
    </w:p>
    <w:p w14:paraId="3CD14745" w14:textId="77777777" w:rsidR="00E65E1A" w:rsidRPr="00E65E1A" w:rsidRDefault="00E65E1A" w:rsidP="00E65E1A">
      <w:pPr>
        <w:spacing w:after="120"/>
        <w:rPr>
          <w:rFonts w:eastAsia="宋体" w:cs="Times New Roman"/>
          <w:iCs/>
        </w:rPr>
      </w:pPr>
      <w:r w:rsidRPr="00E65E1A">
        <w:rPr>
          <w:rFonts w:eastAsia="宋体" w:cs="Times New Roman"/>
          <w:iCs/>
        </w:rPr>
        <w:t>The contribution of the paper is therefore theoretical and practical. Theoretically, it integrates two publications from different but compatible traditions into a coherent explanation of communicative readiness in AI-enhanced EFL learning. Practically, it suggests that effective AI-supported pedagogy should develop AI literacy, strengthen self-efficacy, reduce anxiety, and design AI use around human cognitive and emotional needs. In short, the future of AI-enhanced EFL communication will depend not only on better tools, but on better psychological understanding of how learners encounter, interpret, and act through those tools.</w:t>
      </w:r>
    </w:p>
    <w:p w14:paraId="43A7F1A4" w14:textId="77777777" w:rsidR="00E65E1A" w:rsidRPr="00E65E1A" w:rsidRDefault="00E65E1A" w:rsidP="00E65E1A">
      <w:pPr>
        <w:spacing w:after="120"/>
        <w:rPr>
          <w:rFonts w:eastAsia="宋体" w:cs="Times New Roman"/>
          <w:iCs/>
        </w:rPr>
      </w:pPr>
    </w:p>
    <w:p w14:paraId="1CEDF6AC" w14:textId="77777777" w:rsidR="00E65E1A" w:rsidRPr="00E65E1A" w:rsidRDefault="00E65E1A" w:rsidP="00E65E1A">
      <w:pPr>
        <w:spacing w:after="120"/>
        <w:rPr>
          <w:rFonts w:eastAsia="宋体" w:cs="Times New Roman"/>
          <w:iCs/>
        </w:rPr>
      </w:pPr>
      <w:r w:rsidRPr="00E65E1A">
        <w:rPr>
          <w:rFonts w:eastAsia="宋体" w:cs="Times New Roman"/>
          <w:iCs/>
        </w:rPr>
        <w:t>References</w:t>
      </w:r>
    </w:p>
    <w:p w14:paraId="701CF302" w14:textId="77777777" w:rsidR="00E65E1A" w:rsidRPr="00E65E1A" w:rsidRDefault="00E65E1A" w:rsidP="00E65E1A">
      <w:pPr>
        <w:spacing w:after="120"/>
        <w:rPr>
          <w:rFonts w:eastAsia="宋体" w:cs="Times New Roman"/>
          <w:iCs/>
        </w:rPr>
      </w:pPr>
      <w:r w:rsidRPr="00E65E1A">
        <w:rPr>
          <w:rFonts w:eastAsia="宋体" w:cs="Times New Roman"/>
          <w:iCs/>
        </w:rPr>
        <w:t xml:space="preserve">Allen, L. K., &amp; </w:t>
      </w:r>
      <w:proofErr w:type="spellStart"/>
      <w:r w:rsidRPr="00E65E1A">
        <w:rPr>
          <w:rFonts w:eastAsia="宋体" w:cs="Times New Roman"/>
          <w:iCs/>
        </w:rPr>
        <w:t>Kendeou</w:t>
      </w:r>
      <w:proofErr w:type="spellEnd"/>
      <w:r w:rsidRPr="00E65E1A">
        <w:rPr>
          <w:rFonts w:eastAsia="宋体" w:cs="Times New Roman"/>
          <w:iCs/>
        </w:rPr>
        <w:t>, P. (2024). ED-AI Lit: An interdisciplinary framework for AI literacy in education. Policy Insights from the Behavioral and Brain Sciences, 11(1), 3-10.</w:t>
      </w:r>
    </w:p>
    <w:p w14:paraId="21A37B5B" w14:textId="77777777" w:rsidR="00E65E1A" w:rsidRPr="00E65E1A" w:rsidRDefault="00E65E1A" w:rsidP="00E65E1A">
      <w:pPr>
        <w:spacing w:after="120"/>
        <w:rPr>
          <w:rFonts w:eastAsia="宋体" w:cs="Times New Roman"/>
          <w:iCs/>
        </w:rPr>
      </w:pPr>
      <w:r w:rsidRPr="00E65E1A">
        <w:rPr>
          <w:rFonts w:eastAsia="宋体" w:cs="Times New Roman"/>
          <w:iCs/>
        </w:rPr>
        <w:t xml:space="preserve">Amirian, S. M. R., </w:t>
      </w:r>
      <w:proofErr w:type="spellStart"/>
      <w:r w:rsidRPr="00E65E1A">
        <w:rPr>
          <w:rFonts w:eastAsia="宋体" w:cs="Times New Roman"/>
          <w:iCs/>
        </w:rPr>
        <w:t>Daneshrah</w:t>
      </w:r>
      <w:proofErr w:type="spellEnd"/>
      <w:r w:rsidRPr="00E65E1A">
        <w:rPr>
          <w:rFonts w:eastAsia="宋体" w:cs="Times New Roman"/>
          <w:iCs/>
        </w:rPr>
        <w:t xml:space="preserve">, A., &amp; </w:t>
      </w:r>
      <w:proofErr w:type="spellStart"/>
      <w:r w:rsidRPr="00E65E1A">
        <w:rPr>
          <w:rFonts w:eastAsia="宋体" w:cs="Times New Roman"/>
          <w:iCs/>
        </w:rPr>
        <w:t>Mehrabadi</w:t>
      </w:r>
      <w:proofErr w:type="spellEnd"/>
      <w:r w:rsidRPr="00E65E1A">
        <w:rPr>
          <w:rFonts w:eastAsia="宋体" w:cs="Times New Roman"/>
          <w:iCs/>
        </w:rPr>
        <w:t>, H. (2022). Examining the role of foreign language anxiety and attachment style in willingness to communicate. Psychological Studies, 67(4), 480-487.</w:t>
      </w:r>
    </w:p>
    <w:p w14:paraId="17C00DA1" w14:textId="77777777" w:rsidR="00E65E1A" w:rsidRPr="00E65E1A" w:rsidRDefault="00E65E1A" w:rsidP="00E65E1A">
      <w:pPr>
        <w:spacing w:after="120"/>
        <w:rPr>
          <w:rFonts w:eastAsia="宋体" w:cs="Times New Roman"/>
          <w:iCs/>
        </w:rPr>
      </w:pPr>
      <w:r w:rsidRPr="00E65E1A">
        <w:rPr>
          <w:rFonts w:eastAsia="宋体" w:cs="Times New Roman"/>
          <w:iCs/>
        </w:rPr>
        <w:t xml:space="preserve">Baker, S. C., &amp; </w:t>
      </w:r>
      <w:proofErr w:type="spellStart"/>
      <w:r w:rsidRPr="00E65E1A">
        <w:rPr>
          <w:rFonts w:eastAsia="宋体" w:cs="Times New Roman"/>
          <w:iCs/>
        </w:rPr>
        <w:t>MacIntyre</w:t>
      </w:r>
      <w:proofErr w:type="spellEnd"/>
      <w:r w:rsidRPr="00E65E1A">
        <w:rPr>
          <w:rFonts w:eastAsia="宋体" w:cs="Times New Roman"/>
          <w:iCs/>
        </w:rPr>
        <w:t>, P. D. (2000). The role of gender and immersion in communication and second language orientations. Language Learning, 50(2), 311-341.</w:t>
      </w:r>
    </w:p>
    <w:p w14:paraId="3DD79C7A" w14:textId="77777777" w:rsidR="00E65E1A" w:rsidRPr="00E65E1A" w:rsidRDefault="00E65E1A" w:rsidP="00E65E1A">
      <w:pPr>
        <w:spacing w:after="120"/>
        <w:rPr>
          <w:rFonts w:eastAsia="宋体" w:cs="Times New Roman"/>
          <w:iCs/>
        </w:rPr>
      </w:pPr>
      <w:r w:rsidRPr="00E65E1A">
        <w:rPr>
          <w:rFonts w:eastAsia="宋体" w:cs="Times New Roman"/>
          <w:iCs/>
        </w:rPr>
        <w:t>Bandura, A., &amp; Wessels, S. (1997). Self-efficacy. Cambridge University Press.</w:t>
      </w:r>
    </w:p>
    <w:p w14:paraId="139AB6A3" w14:textId="77777777" w:rsidR="00E65E1A" w:rsidRPr="00E65E1A" w:rsidRDefault="00E65E1A" w:rsidP="00E65E1A">
      <w:pPr>
        <w:spacing w:after="120"/>
        <w:rPr>
          <w:rFonts w:eastAsia="宋体" w:cs="Times New Roman"/>
          <w:iCs/>
        </w:rPr>
      </w:pPr>
      <w:r w:rsidRPr="00E65E1A">
        <w:rPr>
          <w:rFonts w:eastAsia="宋体" w:cs="Times New Roman"/>
          <w:iCs/>
        </w:rPr>
        <w:t xml:space="preserve">Calaguas, N. P., &amp; </w:t>
      </w:r>
      <w:proofErr w:type="spellStart"/>
      <w:r w:rsidRPr="00E65E1A">
        <w:rPr>
          <w:rFonts w:eastAsia="宋体" w:cs="Times New Roman"/>
          <w:iCs/>
        </w:rPr>
        <w:t>Consunji</w:t>
      </w:r>
      <w:proofErr w:type="spellEnd"/>
      <w:r w:rsidRPr="00E65E1A">
        <w:rPr>
          <w:rFonts w:eastAsia="宋体" w:cs="Times New Roman"/>
          <w:iCs/>
        </w:rPr>
        <w:t>, P. M. P. (2022). A structural equation model predicting adults' online learning self-efficacy. Education and Information Technologies, 27(5), 6233-6249.</w:t>
      </w:r>
    </w:p>
    <w:p w14:paraId="315D352D" w14:textId="77777777" w:rsidR="00E65E1A" w:rsidRPr="00E65E1A" w:rsidRDefault="00E65E1A" w:rsidP="00E65E1A">
      <w:pPr>
        <w:spacing w:after="120"/>
        <w:rPr>
          <w:rFonts w:eastAsia="宋体" w:cs="Times New Roman"/>
          <w:iCs/>
        </w:rPr>
      </w:pPr>
      <w:r w:rsidRPr="00E65E1A">
        <w:rPr>
          <w:rFonts w:eastAsia="宋体" w:cs="Times New Roman"/>
          <w:iCs/>
        </w:rPr>
        <w:t xml:space="preserve">Chen, D., Liu, W., &amp; Liu, X. (2024). What drives college students to use AI for L2 learning? Modeling the roles of self-efficacy, anxiety, and attitude based on an extended technology acceptance model. Acta </w:t>
      </w:r>
      <w:proofErr w:type="spellStart"/>
      <w:r w:rsidRPr="00E65E1A">
        <w:rPr>
          <w:rFonts w:eastAsia="宋体" w:cs="Times New Roman"/>
          <w:iCs/>
        </w:rPr>
        <w:t>Psychologica</w:t>
      </w:r>
      <w:proofErr w:type="spellEnd"/>
      <w:r w:rsidRPr="00E65E1A">
        <w:rPr>
          <w:rFonts w:eastAsia="宋体" w:cs="Times New Roman"/>
          <w:iCs/>
        </w:rPr>
        <w:t>, 249, 104442.</w:t>
      </w:r>
    </w:p>
    <w:p w14:paraId="5FCDCE65" w14:textId="77777777" w:rsidR="00E65E1A" w:rsidRPr="00E65E1A" w:rsidRDefault="00E65E1A" w:rsidP="00E65E1A">
      <w:pPr>
        <w:spacing w:after="120"/>
        <w:rPr>
          <w:rFonts w:eastAsia="宋体" w:cs="Times New Roman"/>
          <w:iCs/>
        </w:rPr>
      </w:pPr>
      <w:r w:rsidRPr="00E65E1A">
        <w:rPr>
          <w:rFonts w:eastAsia="宋体" w:cs="Times New Roman"/>
          <w:iCs/>
        </w:rPr>
        <w:t>Dai, Y., Chai, C.-S., Lin, P.-Y., Jong, M. S.-Y., Guo, Y., &amp; Qin, J. (2020). Promoting students' well-being by developing their readiness for the artificial intelligence age. Sustainability, 12(16), 6597.</w:t>
      </w:r>
    </w:p>
    <w:p w14:paraId="7573EABB" w14:textId="77777777" w:rsidR="00E65E1A" w:rsidRPr="00E65E1A" w:rsidRDefault="00E65E1A" w:rsidP="00E65E1A">
      <w:pPr>
        <w:spacing w:after="120"/>
        <w:rPr>
          <w:rFonts w:eastAsia="宋体" w:cs="Times New Roman"/>
          <w:iCs/>
        </w:rPr>
      </w:pPr>
      <w:r w:rsidRPr="00E65E1A">
        <w:rPr>
          <w:rFonts w:eastAsia="宋体" w:cs="Times New Roman"/>
          <w:iCs/>
        </w:rPr>
        <w:t>Dewaele, J.-M. (2019). The effect of classroom emotions, attitudes toward English, and teacher behavior on willingness to communicate among English foreign language learners. Journal of Language and Social Psychology, 38(4), 523-535.</w:t>
      </w:r>
    </w:p>
    <w:p w14:paraId="7B00F34D" w14:textId="77777777" w:rsidR="00E65E1A" w:rsidRPr="00E65E1A" w:rsidRDefault="00E65E1A" w:rsidP="00E65E1A">
      <w:pPr>
        <w:spacing w:after="120"/>
        <w:rPr>
          <w:rFonts w:eastAsia="宋体" w:cs="Times New Roman"/>
          <w:iCs/>
        </w:rPr>
      </w:pPr>
      <w:r w:rsidRPr="00E65E1A">
        <w:rPr>
          <w:rFonts w:eastAsia="宋体" w:cs="Times New Roman"/>
          <w:iCs/>
        </w:rPr>
        <w:t xml:space="preserve">Dewaele, J.-M., &amp; </w:t>
      </w:r>
      <w:proofErr w:type="spellStart"/>
      <w:r w:rsidRPr="00E65E1A">
        <w:rPr>
          <w:rFonts w:eastAsia="宋体" w:cs="Times New Roman"/>
          <w:iCs/>
        </w:rPr>
        <w:t>MacIntyre</w:t>
      </w:r>
      <w:proofErr w:type="spellEnd"/>
      <w:r w:rsidRPr="00E65E1A">
        <w:rPr>
          <w:rFonts w:eastAsia="宋体" w:cs="Times New Roman"/>
          <w:iCs/>
        </w:rPr>
        <w:t>, P. D. (2014). The two faces of Janus? Anxiety and enjoyment in the foreign language classroom. Studies in Second Language Learning and Teaching, 4(2), 237-274.</w:t>
      </w:r>
    </w:p>
    <w:p w14:paraId="6E82DC69" w14:textId="77777777" w:rsidR="00E65E1A" w:rsidRPr="00E65E1A" w:rsidRDefault="00E65E1A" w:rsidP="00E65E1A">
      <w:pPr>
        <w:spacing w:after="120"/>
        <w:rPr>
          <w:rFonts w:eastAsia="宋体" w:cs="Times New Roman"/>
          <w:iCs/>
        </w:rPr>
      </w:pPr>
      <w:r w:rsidRPr="00E65E1A">
        <w:rPr>
          <w:rFonts w:eastAsia="宋体" w:cs="Times New Roman"/>
          <w:iCs/>
        </w:rPr>
        <w:t>Fathi, J., Rahimi, M., &amp; Derakhshan, A. (2024). Improving EFL learners' speaking skills and willingness to communicate via artificial intelligence-mediated interactions. System, 121, 103254.</w:t>
      </w:r>
    </w:p>
    <w:p w14:paraId="2D4EA9B2" w14:textId="77777777" w:rsidR="00E65E1A" w:rsidRPr="00E65E1A" w:rsidRDefault="00E65E1A" w:rsidP="00E65E1A">
      <w:pPr>
        <w:spacing w:after="120"/>
        <w:rPr>
          <w:rFonts w:eastAsia="宋体" w:cs="Times New Roman"/>
          <w:iCs/>
        </w:rPr>
      </w:pPr>
      <w:r w:rsidRPr="00E65E1A">
        <w:rPr>
          <w:rFonts w:eastAsia="宋体" w:cs="Times New Roman"/>
          <w:iCs/>
        </w:rPr>
        <w:t>Gumus, M. M., Kukul, V., &amp; Korkmaz, O. (2024). Relationships between middle school students' digital literacy skills, computer programming self-efficacy, and computational thinking self-efficacy. Informatics in Education, 23(3), 571-592.</w:t>
      </w:r>
    </w:p>
    <w:p w14:paraId="3DD0EDC0" w14:textId="77777777" w:rsidR="00E65E1A" w:rsidRPr="00E65E1A" w:rsidRDefault="00E65E1A" w:rsidP="00E65E1A">
      <w:pPr>
        <w:spacing w:after="120"/>
        <w:rPr>
          <w:rFonts w:eastAsia="宋体" w:cs="Times New Roman"/>
          <w:iCs/>
        </w:rPr>
      </w:pPr>
      <w:r w:rsidRPr="00E65E1A">
        <w:rPr>
          <w:rFonts w:eastAsia="宋体" w:cs="Times New Roman"/>
          <w:iCs/>
        </w:rPr>
        <w:t xml:space="preserve">Hejazi, S. Y., </w:t>
      </w:r>
      <w:proofErr w:type="spellStart"/>
      <w:r w:rsidRPr="00E65E1A">
        <w:rPr>
          <w:rFonts w:eastAsia="宋体" w:cs="Times New Roman"/>
          <w:iCs/>
        </w:rPr>
        <w:t>Sadoughi</w:t>
      </w:r>
      <w:proofErr w:type="spellEnd"/>
      <w:r w:rsidRPr="00E65E1A">
        <w:rPr>
          <w:rFonts w:eastAsia="宋体" w:cs="Times New Roman"/>
          <w:iCs/>
        </w:rPr>
        <w:t>, M., &amp; Peng, J. E. (2023). The structural relationship between teacher support and willingness to communicate: The mediation of L2 anxiety and the moderation of growth language mindset. Journal of Psycholinguistic Research, 52(6), 2955-2978.</w:t>
      </w:r>
    </w:p>
    <w:p w14:paraId="133DC1A9" w14:textId="77777777" w:rsidR="00E65E1A" w:rsidRPr="00E65E1A" w:rsidRDefault="00E65E1A" w:rsidP="00E65E1A">
      <w:pPr>
        <w:spacing w:after="120"/>
        <w:rPr>
          <w:rFonts w:eastAsia="宋体" w:cs="Times New Roman"/>
          <w:iCs/>
        </w:rPr>
      </w:pPr>
      <w:r w:rsidRPr="00E65E1A">
        <w:rPr>
          <w:rFonts w:eastAsia="宋体" w:cs="Times New Roman"/>
          <w:iCs/>
        </w:rPr>
        <w:t xml:space="preserve">Hsieh, W.-M., Yeh, H.-C., &amp; Chen, N.-S. (2023). Impact of a robot and tangible object (R&amp;T) integrated learning system on elementary EFL learners' English pronunciation and willingness to communicate. Computer Assisted </w:t>
      </w:r>
      <w:r w:rsidRPr="00E65E1A">
        <w:rPr>
          <w:rFonts w:eastAsia="宋体" w:cs="Times New Roman"/>
          <w:iCs/>
        </w:rPr>
        <w:lastRenderedPageBreak/>
        <w:t>Language Learning, 1-26.</w:t>
      </w:r>
    </w:p>
    <w:p w14:paraId="433B1AE1" w14:textId="77777777" w:rsidR="00E65E1A" w:rsidRPr="00E65E1A" w:rsidRDefault="00E65E1A" w:rsidP="00E65E1A">
      <w:pPr>
        <w:spacing w:after="120"/>
        <w:rPr>
          <w:rFonts w:eastAsia="宋体" w:cs="Times New Roman"/>
          <w:iCs/>
        </w:rPr>
      </w:pPr>
      <w:r w:rsidRPr="00E65E1A">
        <w:rPr>
          <w:rFonts w:eastAsia="宋体" w:cs="Times New Roman"/>
          <w:iCs/>
        </w:rPr>
        <w:t>Huang, F., Wang, Y., &amp; Zhang, H. (2024). Modelling generative AI acceptance, perceived teachers' enthusiasm and self-efficacy to English as a foreign language learners' well-being in the digital era. European Journal of Education, 59(4), e12770.</w:t>
      </w:r>
    </w:p>
    <w:p w14:paraId="4D830334" w14:textId="77777777" w:rsidR="00E65E1A" w:rsidRPr="00E65E1A" w:rsidRDefault="00E65E1A" w:rsidP="00E65E1A">
      <w:pPr>
        <w:spacing w:after="120"/>
        <w:rPr>
          <w:rFonts w:eastAsia="宋体" w:cs="Times New Roman"/>
          <w:iCs/>
        </w:rPr>
      </w:pPr>
      <w:r w:rsidRPr="00E65E1A">
        <w:rPr>
          <w:rFonts w:eastAsia="宋体" w:cs="Times New Roman"/>
          <w:iCs/>
        </w:rPr>
        <w:t>Huang, F., &amp; Zou, B. (2024). English speaking with artificial intelligence (AI): The roles of enjoyment, willingness to communicate with AI, and innovativeness. Computers in Human Behavior, 159, 108355.</w:t>
      </w:r>
    </w:p>
    <w:p w14:paraId="361EB716" w14:textId="77777777" w:rsidR="00E65E1A" w:rsidRPr="00E65E1A" w:rsidRDefault="00E65E1A" w:rsidP="00E65E1A">
      <w:pPr>
        <w:spacing w:after="120"/>
        <w:rPr>
          <w:rFonts w:eastAsia="宋体" w:cs="Times New Roman"/>
          <w:iCs/>
        </w:rPr>
      </w:pPr>
      <w:r w:rsidRPr="00E65E1A">
        <w:rPr>
          <w:rFonts w:eastAsia="宋体" w:cs="Times New Roman"/>
          <w:iCs/>
        </w:rPr>
        <w:t>Huang, H., &amp; Li, M. (2024). The impact of technology-enhanced language learning environments on second language learners' willingness to communicate: A systematic review of empirical studies from 2012 to 2023. Language Learning &amp; Technology, 28(1), 1-22.</w:t>
      </w:r>
    </w:p>
    <w:p w14:paraId="53628E9F" w14:textId="77777777" w:rsidR="00E65E1A" w:rsidRPr="00E65E1A" w:rsidRDefault="00E65E1A" w:rsidP="00E65E1A">
      <w:pPr>
        <w:spacing w:after="120"/>
        <w:rPr>
          <w:rFonts w:eastAsia="宋体" w:cs="Times New Roman"/>
          <w:iCs/>
        </w:rPr>
      </w:pPr>
      <w:r w:rsidRPr="00E65E1A">
        <w:rPr>
          <w:rFonts w:eastAsia="宋体" w:cs="Times New Roman"/>
          <w:iCs/>
        </w:rPr>
        <w:t xml:space="preserve">Ibrahim, R. K., &amp; </w:t>
      </w:r>
      <w:proofErr w:type="spellStart"/>
      <w:r w:rsidRPr="00E65E1A">
        <w:rPr>
          <w:rFonts w:eastAsia="宋体" w:cs="Times New Roman"/>
          <w:iCs/>
        </w:rPr>
        <w:t>Aldawsari</w:t>
      </w:r>
      <w:proofErr w:type="spellEnd"/>
      <w:r w:rsidRPr="00E65E1A">
        <w:rPr>
          <w:rFonts w:eastAsia="宋体" w:cs="Times New Roman"/>
          <w:iCs/>
        </w:rPr>
        <w:t>, A. N. (2023). Relationship between digital capabilities and academic performance: The mediating effect of self-efficacy. BMC Nursing, 22(1), 434.</w:t>
      </w:r>
    </w:p>
    <w:p w14:paraId="07065C7B" w14:textId="77777777" w:rsidR="00E65E1A" w:rsidRPr="00E65E1A" w:rsidRDefault="00E65E1A" w:rsidP="00E65E1A">
      <w:pPr>
        <w:spacing w:after="120"/>
        <w:rPr>
          <w:rFonts w:eastAsia="宋体" w:cs="Times New Roman"/>
          <w:iCs/>
        </w:rPr>
      </w:pPr>
      <w:r w:rsidRPr="00E65E1A">
        <w:rPr>
          <w:rFonts w:eastAsia="宋体" w:cs="Times New Roman"/>
          <w:iCs/>
        </w:rPr>
        <w:t>Jin, F. Y., Gu, C. F., &amp; Li, Y. (2024). Trait emotional intelligence and foreign language performance: Associations with academic self-efficacy and foreign language anxiety. Frontiers in Education, 9, 1419328.</w:t>
      </w:r>
    </w:p>
    <w:p w14:paraId="1A1691AF" w14:textId="77777777" w:rsidR="00E65E1A" w:rsidRPr="00E65E1A" w:rsidRDefault="00E65E1A" w:rsidP="00E65E1A">
      <w:pPr>
        <w:spacing w:after="120"/>
        <w:rPr>
          <w:rFonts w:eastAsia="宋体" w:cs="Times New Roman"/>
          <w:iCs/>
        </w:rPr>
      </w:pPr>
      <w:r w:rsidRPr="00E65E1A">
        <w:rPr>
          <w:rFonts w:eastAsia="宋体" w:cs="Times New Roman"/>
          <w:iCs/>
        </w:rPr>
        <w:t>Kim, B.-J., &amp; Kim, M.-J. (2024). How artificial intelligence-induced job insecurity shapes knowledge dynamics: The mitigating role of artificial intelligence self-efficacy. Journal of Innovation &amp; Knowledge, 9(4), 100590.</w:t>
      </w:r>
    </w:p>
    <w:p w14:paraId="6EDFA67C" w14:textId="77777777" w:rsidR="00E65E1A" w:rsidRPr="00E65E1A" w:rsidRDefault="00E65E1A" w:rsidP="00E65E1A">
      <w:pPr>
        <w:spacing w:after="120"/>
        <w:rPr>
          <w:rFonts w:eastAsia="宋体" w:cs="Times New Roman"/>
          <w:iCs/>
        </w:rPr>
      </w:pPr>
      <w:r w:rsidRPr="00E65E1A">
        <w:rPr>
          <w:rFonts w:eastAsia="宋体" w:cs="Times New Roman"/>
          <w:iCs/>
        </w:rPr>
        <w:t>Kim, B.-J., &amp; Lee, J. (2024). The mental health implications of artificial intelligence adoption: The crucial role of self-efficacy. Humanities &amp; Social Sciences Communications, 11(1), 1561.</w:t>
      </w:r>
    </w:p>
    <w:p w14:paraId="1502E0EE" w14:textId="77777777" w:rsidR="00E65E1A" w:rsidRPr="00E65E1A" w:rsidRDefault="00E65E1A" w:rsidP="00E65E1A">
      <w:pPr>
        <w:spacing w:after="120"/>
        <w:rPr>
          <w:rFonts w:eastAsia="宋体" w:cs="Times New Roman"/>
          <w:iCs/>
        </w:rPr>
      </w:pPr>
      <w:r w:rsidRPr="00E65E1A">
        <w:rPr>
          <w:rFonts w:eastAsia="宋体" w:cs="Times New Roman"/>
          <w:iCs/>
        </w:rPr>
        <w:t>Lee, J. S. (2019). EFL students' views of willingness to communicate in the extramural digital context. Computer Assisted Language Learning, 32(7), 692-712.</w:t>
      </w:r>
    </w:p>
    <w:p w14:paraId="2A7BC3EF" w14:textId="77777777" w:rsidR="00E65E1A" w:rsidRPr="00E65E1A" w:rsidRDefault="00E65E1A" w:rsidP="00E65E1A">
      <w:pPr>
        <w:spacing w:after="120"/>
        <w:rPr>
          <w:rFonts w:eastAsia="宋体" w:cs="Times New Roman"/>
          <w:iCs/>
        </w:rPr>
      </w:pPr>
      <w:r w:rsidRPr="00E65E1A">
        <w:rPr>
          <w:rFonts w:eastAsia="宋体" w:cs="Times New Roman"/>
          <w:iCs/>
        </w:rPr>
        <w:t>Lee, J. S., &amp; Chiu, M. M. (2023). Modeling EFL learners' willingness to communicate: The roles of face-to-face and digital L2 communication anxiety. Annual Review of Applied Linguistics, 43, 64-87.</w:t>
      </w:r>
    </w:p>
    <w:p w14:paraId="69186783" w14:textId="77777777" w:rsidR="00E65E1A" w:rsidRPr="00E65E1A" w:rsidRDefault="00E65E1A" w:rsidP="00E65E1A">
      <w:pPr>
        <w:spacing w:after="120"/>
        <w:rPr>
          <w:rFonts w:eastAsia="宋体" w:cs="Times New Roman"/>
          <w:iCs/>
        </w:rPr>
      </w:pPr>
      <w:r w:rsidRPr="00E65E1A">
        <w:rPr>
          <w:rFonts w:eastAsia="宋体" w:cs="Times New Roman"/>
          <w:iCs/>
        </w:rPr>
        <w:t>Lee, J. S., &amp; Hsieh, J. C. (2019). Affective variables and willingness to communicate of EFL learners in in-class, out-of-class, and digital contexts. System, 82, 63-73.</w:t>
      </w:r>
    </w:p>
    <w:p w14:paraId="6847F590" w14:textId="77777777" w:rsidR="00E65E1A" w:rsidRPr="00E65E1A" w:rsidRDefault="00E65E1A" w:rsidP="00E65E1A">
      <w:pPr>
        <w:spacing w:after="120"/>
        <w:rPr>
          <w:rFonts w:eastAsia="宋体" w:cs="Times New Roman"/>
          <w:iCs/>
        </w:rPr>
      </w:pPr>
      <w:r w:rsidRPr="00E65E1A">
        <w:rPr>
          <w:rFonts w:eastAsia="宋体" w:cs="Times New Roman"/>
          <w:iCs/>
        </w:rPr>
        <w:t>Liu, Q., Liu, J., Cai, J., &amp; Zhang, Z. (2020). The relationship between domain- and task-specific self-efficacy and mathematical problem posing: A large-scale study of eighth-grade students in China. Educational Studies in Mathematics, 105(3), 407-431.</w:t>
      </w:r>
    </w:p>
    <w:p w14:paraId="2BA48183" w14:textId="77777777" w:rsidR="00E65E1A" w:rsidRPr="00E65E1A" w:rsidRDefault="00E65E1A" w:rsidP="00E65E1A">
      <w:pPr>
        <w:spacing w:after="120"/>
        <w:rPr>
          <w:rFonts w:eastAsia="宋体" w:cs="Times New Roman"/>
          <w:iCs/>
        </w:rPr>
      </w:pPr>
      <w:proofErr w:type="spellStart"/>
      <w:r w:rsidRPr="00E65E1A">
        <w:rPr>
          <w:rFonts w:eastAsia="宋体" w:cs="Times New Roman"/>
          <w:iCs/>
        </w:rPr>
        <w:t>MacIntyre</w:t>
      </w:r>
      <w:proofErr w:type="spellEnd"/>
      <w:r w:rsidRPr="00E65E1A">
        <w:rPr>
          <w:rFonts w:eastAsia="宋体" w:cs="Times New Roman"/>
          <w:iCs/>
        </w:rPr>
        <w:t>, P. (1999). Language anxiety: A review of the research for language teachers. In D. J. Young (Ed.), Affect in foreign language and second language learning (pp. 24-45). McGraw-Hill.</w:t>
      </w:r>
    </w:p>
    <w:p w14:paraId="61093D27" w14:textId="77777777" w:rsidR="00E65E1A" w:rsidRPr="00E65E1A" w:rsidRDefault="00E65E1A" w:rsidP="00E65E1A">
      <w:pPr>
        <w:spacing w:after="120"/>
        <w:rPr>
          <w:rFonts w:eastAsia="宋体" w:cs="Times New Roman"/>
          <w:iCs/>
        </w:rPr>
      </w:pPr>
      <w:r w:rsidRPr="00E65E1A">
        <w:rPr>
          <w:rFonts w:eastAsia="宋体" w:cs="Times New Roman"/>
          <w:iCs/>
        </w:rPr>
        <w:t>Ng, D. T. K., Chen, X. Y., Leung, J. K. L., &amp; Chu, S. K. W. (2024). Fostering students' AI literacy development through educational games: AI knowledge, affective and cognitive engagement. Journal of Computer Assisted Learning, 40(5), 2049-2064.</w:t>
      </w:r>
    </w:p>
    <w:p w14:paraId="3A7BF4B5" w14:textId="77777777" w:rsidR="00E65E1A" w:rsidRPr="00E65E1A" w:rsidRDefault="00E65E1A" w:rsidP="00E65E1A">
      <w:pPr>
        <w:spacing w:after="120"/>
        <w:rPr>
          <w:rFonts w:eastAsia="宋体" w:cs="Times New Roman"/>
          <w:iCs/>
        </w:rPr>
      </w:pPr>
      <w:r w:rsidRPr="00E65E1A">
        <w:rPr>
          <w:rFonts w:eastAsia="宋体" w:cs="Times New Roman"/>
          <w:iCs/>
        </w:rPr>
        <w:t>Wang, X., Liu, Y. L., Ying, B., &amp; Lin, J. (2023). The effect of learning adaptability on Chinese middle school students' English academic engagement: The chain mediating roles of foreign language anxiety and English learning self-efficacy. Current Psychology, 42(8), 6682-6692.</w:t>
      </w:r>
    </w:p>
    <w:p w14:paraId="4067A10A" w14:textId="77777777" w:rsidR="00E65E1A" w:rsidRPr="00E65E1A" w:rsidRDefault="00E65E1A" w:rsidP="00E65E1A">
      <w:pPr>
        <w:spacing w:after="120"/>
        <w:rPr>
          <w:rFonts w:eastAsia="宋体" w:cs="Times New Roman"/>
          <w:iCs/>
        </w:rPr>
      </w:pPr>
      <w:r w:rsidRPr="00E65E1A">
        <w:rPr>
          <w:rFonts w:eastAsia="宋体" w:cs="Times New Roman"/>
          <w:iCs/>
        </w:rPr>
        <w:t>Wang, Y. L., Wu, H. W., &amp; Wang, Y. S. (2024). Engagement and willingness to communicate in the L2 classroom: Identifying the latent profiles and their relationships with achievement emotions. Journal of Multilingual and Multicultural Development, 1-17.</w:t>
      </w:r>
    </w:p>
    <w:p w14:paraId="6299DBF1" w14:textId="77777777" w:rsidR="00E65E1A" w:rsidRPr="00E65E1A" w:rsidRDefault="00E65E1A" w:rsidP="00E65E1A">
      <w:pPr>
        <w:spacing w:after="120"/>
        <w:rPr>
          <w:rFonts w:eastAsia="宋体" w:cs="Times New Roman"/>
          <w:iCs/>
        </w:rPr>
      </w:pPr>
      <w:r w:rsidRPr="00E65E1A">
        <w:rPr>
          <w:rFonts w:eastAsia="宋体" w:cs="Times New Roman"/>
          <w:iCs/>
        </w:rPr>
        <w:t>Wang, Y.-M., Wei, C.-L., Lin, H.-H., Wang, S.-C., &amp; Wang, Y.-S. (2024). What drives students' AI learning behavior: A perspective of AI anxiety. Interactive Learning Environments, 32(6), 2584-2600.</w:t>
      </w:r>
    </w:p>
    <w:p w14:paraId="43978830" w14:textId="77777777" w:rsidR="00E65E1A" w:rsidRPr="00E65E1A" w:rsidRDefault="00E65E1A" w:rsidP="00E65E1A">
      <w:pPr>
        <w:spacing w:after="120"/>
        <w:rPr>
          <w:rFonts w:eastAsia="宋体" w:cs="Times New Roman"/>
          <w:iCs/>
        </w:rPr>
      </w:pPr>
      <w:r w:rsidRPr="00E65E1A">
        <w:rPr>
          <w:rFonts w:eastAsia="宋体" w:cs="Times New Roman"/>
          <w:iCs/>
        </w:rPr>
        <w:t xml:space="preserve">Wang, Y.-Y., &amp; Chuang, Y.-W. (2024). Artificial intelligence self-efficacy: Scale development and validation. </w:t>
      </w:r>
      <w:r w:rsidRPr="00E65E1A">
        <w:rPr>
          <w:rFonts w:eastAsia="宋体" w:cs="Times New Roman"/>
          <w:iCs/>
        </w:rPr>
        <w:lastRenderedPageBreak/>
        <w:t>Education and Information Technologies, 29(4), 4785-4808.</w:t>
      </w:r>
    </w:p>
    <w:p w14:paraId="275078E6" w14:textId="77777777" w:rsidR="00E65E1A" w:rsidRPr="00E65E1A" w:rsidRDefault="00E65E1A" w:rsidP="00E65E1A">
      <w:pPr>
        <w:spacing w:after="120"/>
        <w:rPr>
          <w:rFonts w:eastAsia="宋体" w:cs="Times New Roman"/>
          <w:iCs/>
        </w:rPr>
      </w:pPr>
      <w:r w:rsidRPr="00E65E1A">
        <w:rPr>
          <w:rFonts w:eastAsia="宋体" w:cs="Times New Roman"/>
          <w:iCs/>
        </w:rPr>
        <w:t xml:space="preserve">Weda, S., </w:t>
      </w:r>
      <w:proofErr w:type="spellStart"/>
      <w:r w:rsidRPr="00E65E1A">
        <w:rPr>
          <w:rFonts w:eastAsia="宋体" w:cs="Times New Roman"/>
          <w:iCs/>
        </w:rPr>
        <w:t>Atmowardoyo</w:t>
      </w:r>
      <w:proofErr w:type="spellEnd"/>
      <w:r w:rsidRPr="00E65E1A">
        <w:rPr>
          <w:rFonts w:eastAsia="宋体" w:cs="Times New Roman"/>
          <w:iCs/>
        </w:rPr>
        <w:t>, H., Rahman, F., Said, M. M., &amp; Sakti, A. E. F. (2021). Factors affecting students' willingness to communicate in EFL classroom at higher institution in Indonesia. International Journal of Instruction, 14(2), 719-734.</w:t>
      </w:r>
    </w:p>
    <w:p w14:paraId="553AD2C4" w14:textId="77777777" w:rsidR="00E65E1A" w:rsidRPr="00E65E1A" w:rsidRDefault="00E65E1A" w:rsidP="00E65E1A">
      <w:pPr>
        <w:spacing w:after="120"/>
        <w:rPr>
          <w:rFonts w:eastAsia="宋体" w:cs="Times New Roman"/>
          <w:iCs/>
        </w:rPr>
      </w:pPr>
      <w:r w:rsidRPr="00E65E1A">
        <w:rPr>
          <w:rFonts w:eastAsia="宋体" w:cs="Times New Roman"/>
          <w:iCs/>
        </w:rPr>
        <w:t>Xin, Z., &amp; Derakhshan, A. (2025). From excitement to anxiety: Exploring English as a foreign language learners' emotional experiences in the artificial intelligence-powered classrooms. European Journal of Education, 60(1), e12845.</w:t>
      </w:r>
    </w:p>
    <w:p w14:paraId="4CB4806B" w14:textId="77777777" w:rsidR="00E65E1A" w:rsidRPr="00E65E1A" w:rsidRDefault="00E65E1A" w:rsidP="00E65E1A">
      <w:pPr>
        <w:spacing w:after="120"/>
        <w:rPr>
          <w:rFonts w:eastAsia="宋体" w:cs="Times New Roman"/>
          <w:iCs/>
        </w:rPr>
      </w:pPr>
      <w:proofErr w:type="spellStart"/>
      <w:r w:rsidRPr="00E65E1A">
        <w:rPr>
          <w:rFonts w:eastAsia="宋体" w:cs="Times New Roman"/>
          <w:iCs/>
        </w:rPr>
        <w:t>Yesilyurt</w:t>
      </w:r>
      <w:proofErr w:type="spellEnd"/>
      <w:r w:rsidRPr="00E65E1A">
        <w:rPr>
          <w:rFonts w:eastAsia="宋体" w:cs="Times New Roman"/>
          <w:iCs/>
        </w:rPr>
        <w:t>, E., Ulas, A. H., &amp; Akan, D. (2016). Teacher self-efficacy, academic self-efficacy, and computer self-efficacy as predictors of attitude toward applying computer-supported education. Computers in Human Behavior, 64, 591-601.</w:t>
      </w:r>
    </w:p>
    <w:p w14:paraId="43AF7332" w14:textId="77777777" w:rsidR="00E65E1A" w:rsidRPr="00E65E1A" w:rsidRDefault="00E65E1A" w:rsidP="00E65E1A">
      <w:pPr>
        <w:spacing w:after="120"/>
        <w:rPr>
          <w:rFonts w:eastAsia="宋体" w:cs="Times New Roman"/>
          <w:iCs/>
        </w:rPr>
      </w:pPr>
      <w:r w:rsidRPr="00E65E1A">
        <w:rPr>
          <w:rFonts w:eastAsia="宋体" w:cs="Times New Roman"/>
          <w:iCs/>
        </w:rPr>
        <w:t xml:space="preserve">Zare, M., </w:t>
      </w:r>
      <w:proofErr w:type="spellStart"/>
      <w:r w:rsidRPr="00E65E1A">
        <w:rPr>
          <w:rFonts w:eastAsia="宋体" w:cs="Times New Roman"/>
          <w:iCs/>
        </w:rPr>
        <w:t>Shooshtari</w:t>
      </w:r>
      <w:proofErr w:type="spellEnd"/>
      <w:r w:rsidRPr="00E65E1A">
        <w:rPr>
          <w:rFonts w:eastAsia="宋体" w:cs="Times New Roman"/>
          <w:iCs/>
        </w:rPr>
        <w:t xml:space="preserve">, Z. G., &amp; </w:t>
      </w:r>
      <w:proofErr w:type="spellStart"/>
      <w:r w:rsidRPr="00E65E1A">
        <w:rPr>
          <w:rFonts w:eastAsia="宋体" w:cs="Times New Roman"/>
          <w:iCs/>
        </w:rPr>
        <w:t>Jalilifar</w:t>
      </w:r>
      <w:proofErr w:type="spellEnd"/>
      <w:r w:rsidRPr="00E65E1A">
        <w:rPr>
          <w:rFonts w:eastAsia="宋体" w:cs="Times New Roman"/>
          <w:iCs/>
        </w:rPr>
        <w:t>, A. (2022). The interplay of oral corrective feedback and L2 willingness to communicate across proficiency levels. Language Teaching Research, 26(6), 1158-1178.</w:t>
      </w:r>
    </w:p>
    <w:p w14:paraId="3CE31556" w14:textId="77777777" w:rsidR="00E65E1A" w:rsidRPr="00E65E1A" w:rsidRDefault="00E65E1A" w:rsidP="00E65E1A">
      <w:pPr>
        <w:spacing w:after="120"/>
        <w:rPr>
          <w:rFonts w:eastAsia="宋体" w:cs="Times New Roman"/>
          <w:iCs/>
        </w:rPr>
      </w:pPr>
      <w:r w:rsidRPr="00E65E1A">
        <w:rPr>
          <w:rFonts w:eastAsia="宋体" w:cs="Times New Roman"/>
          <w:iCs/>
        </w:rPr>
        <w:t>Zhang, Q., Nie, H., Fan, J., &amp; Liu, H. (2025). Exploring the dynamics of artificial intelligence literacy on English as a foreign language learners' willingness to communicate: The critical mediating roles of artificial intelligence learning self-efficacy and classroom anxiety. Behavioral Sciences, 15(4), 523.</w:t>
      </w:r>
    </w:p>
    <w:p w14:paraId="504A5CC1" w14:textId="6EB66BB7" w:rsidR="00E65E1A" w:rsidRPr="00E65E1A" w:rsidRDefault="00E65E1A" w:rsidP="00E65E1A">
      <w:pPr>
        <w:spacing w:after="120"/>
        <w:rPr>
          <w:rFonts w:eastAsia="宋体" w:cs="Times New Roman"/>
          <w:iCs/>
        </w:rPr>
      </w:pPr>
      <w:r w:rsidRPr="00E65E1A">
        <w:rPr>
          <w:rFonts w:eastAsia="宋体" w:cs="Times New Roman"/>
          <w:iCs/>
        </w:rPr>
        <w:t>Zhao, J., Wu, M., Zhou, L., Wang, X., &amp; Jia, J. (2022). Cognitive psychology-based artificial intelligence review. Frontiers in Neuroscience, 16, 1024316.</w:t>
      </w:r>
    </w:p>
    <w:sectPr w:rsidR="00E65E1A" w:rsidRPr="00E65E1A">
      <w:footerReference w:type="default" r:id="rId8"/>
      <w:headerReference w:type="first" r:id="rId9"/>
      <w:footerReference w:type="first" r:id="rId10"/>
      <w:pgSz w:w="11906" w:h="16838"/>
      <w:pgMar w:top="1043" w:right="1236" w:bottom="1043" w:left="1236" w:header="850" w:footer="567" w:gutter="0"/>
      <w:pgNumType w:start="1"/>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17D23" w14:textId="77777777" w:rsidR="00271F96" w:rsidRDefault="00271F96">
      <w:r>
        <w:separator/>
      </w:r>
    </w:p>
  </w:endnote>
  <w:endnote w:type="continuationSeparator" w:id="0">
    <w:p w14:paraId="74850D13" w14:textId="77777777" w:rsidR="00271F96" w:rsidRDefault="00271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
    <w:altName w:val="Calibri"/>
    <w:panose1 w:val="020B0604020202020204"/>
    <w:charset w:val="00"/>
    <w:family w:val="auto"/>
    <w:pitch w:val="default"/>
  </w:font>
  <w:font w:name=".sf ns">
    <w:altName w:val="Calibri"/>
    <w:panose1 w:val="020B0604020202020204"/>
    <w:charset w:val="00"/>
    <w:family w:val="auto"/>
    <w:pitch w:val="default"/>
    <w:sig w:usb0="E0002AEF" w:usb1="C0007841" w:usb2="00000009" w:usb3="00000000" w:csb0="400001FF" w:csb1="FFFF0000"/>
  </w:font>
  <w:font w:name="PingFang SC">
    <w:panose1 w:val="020B0400000000000000"/>
    <w:charset w:val="86"/>
    <w:family w:val="swiss"/>
    <w:pitch w:val="variable"/>
    <w:sig w:usb0="A00002FF" w:usb1="7ACFFDFB" w:usb2="00000017" w:usb3="00000000" w:csb0="00040001" w:csb1="00000000"/>
  </w:font>
  <w:font w:name="Calibri">
    <w:panose1 w:val="020F0502020204030204"/>
    <w:charset w:val="00"/>
    <w:family w:val="swiss"/>
    <w:pitch w:val="variable"/>
    <w:sig w:usb0="E0002AFF" w:usb1="C000247B" w:usb2="00000009" w:usb3="00000000" w:csb0="000001FF" w:csb1="00000000"/>
  </w:font>
  <w:font w:name="STIX Two Text Medium">
    <w:panose1 w:val="00000000000000000000"/>
    <w:charset w:val="00"/>
    <w:family w:val="auto"/>
    <w:pitch w:val="variable"/>
    <w:sig w:usb0="A00002FF" w:usb1="0000001F" w:usb2="00000000" w:usb3="00000000" w:csb0="0000019F" w:csb1="00000000"/>
  </w:font>
  <w:font w:name="Arial Bold">
    <w:altName w:val="Arial"/>
    <w:panose1 w:val="020B0604020202020204"/>
    <w:charset w:val="00"/>
    <w:family w:val="auto"/>
    <w:pitch w:val="default"/>
    <w:sig w:usb0="E0000AFF" w:usb1="00007843" w:usb2="00000001" w:usb3="00000000" w:csb0="400001BF" w:csb1="DFF70000"/>
  </w:font>
  <w:font w:name="Times New Roman Bold">
    <w:altName w:val="Times New Roman"/>
    <w:panose1 w:val="020B0604020202020204"/>
    <w:charset w:val="00"/>
    <w:family w:val="auto"/>
    <w:pitch w:val="default"/>
    <w:sig w:usb0="E0002AEF" w:usb1="C0007841" w:usb2="00000009" w:usb3="00000000" w:csb0="400001FF" w:csb1="FFFF0000"/>
  </w:font>
  <w:font w:name="Times New Roman Italic">
    <w:altName w:val="Times New Roman"/>
    <w:panose1 w:val="020B0604020202020204"/>
    <w:charset w:val="00"/>
    <w:family w:val="auto"/>
    <w:pitch w:val="default"/>
    <w:sig w:usb0="E0002AEF" w:usb1="C0007841" w:usb2="00000009" w:usb3="00000000" w:csb0="400001FF" w:csb1="FFFF0000"/>
  </w:font>
  <w:font w:name="微软雅黑">
    <w:altName w:val="Microsoft YaHei"/>
    <w:panose1 w:val="020B0503020204020204"/>
    <w:charset w:val="86"/>
    <w:family w:val="swiss"/>
    <w:pitch w:val="variable"/>
    <w:sig w:usb0="80000287" w:usb1="2ACF3C50" w:usb2="00000016" w:usb3="00000000" w:csb0="0004001F" w:csb1="00000000"/>
  </w:font>
  <w:font w:name="Bahnschrift">
    <w:panose1 w:val="020B0502040204020203"/>
    <w:charset w:val="00"/>
    <w:family w:val="swiss"/>
    <w:pitch w:val="variable"/>
    <w:sig w:usb0="A00002C7" w:usb1="00000002" w:usb2="00000000" w:usb3="00000000" w:csb0="0000019F" w:csb1="00000000"/>
  </w:font>
  <w:font w:name="Arial Regular">
    <w:altName w:val="Arial"/>
    <w:panose1 w:val="020B0604020202020204"/>
    <w:charset w:val="00"/>
    <w:family w:val="auto"/>
    <w:pitch w:val="default"/>
    <w:sig w:usb0="E0000AFF" w:usb1="00007843" w:usb2="00000001" w:usb3="00000000" w:csb0="400001BF" w:csb1="DFF7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2A3B" w14:textId="5429F984" w:rsidR="00E33D0E" w:rsidRDefault="00E33D0E">
    <w:pPr>
      <w:pStyle w:val="a4"/>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DCE9" w14:textId="20A9B8F7" w:rsidR="00631B2E" w:rsidRPr="0044574F" w:rsidRDefault="00631B2E" w:rsidP="007D2735">
    <w:pPr>
      <w:spacing w:after="120"/>
      <w:rPr>
        <w:rFonts w:ascii="微软雅黑" w:eastAsia="微软雅黑" w:hAnsi="微软雅黑" w:cs="微软雅黑"/>
        <w:b/>
        <w:bCs/>
        <w:sz w:val="16"/>
        <w:szCs w:val="16"/>
      </w:rPr>
    </w:pPr>
    <w:r>
      <w:rPr>
        <w:rFonts w:cs="Times New Roman"/>
        <w:b/>
        <w:bCs/>
        <w:sz w:val="16"/>
        <w:szCs w:val="16"/>
      </w:rPr>
      <w:t>C</w:t>
    </w:r>
    <w:r w:rsidRPr="007D2735">
      <w:rPr>
        <w:rFonts w:cs="Times New Roman"/>
        <w:b/>
        <w:bCs/>
        <w:sz w:val="16"/>
        <w:szCs w:val="16"/>
      </w:rPr>
      <w:t>itati</w:t>
    </w:r>
    <w:r>
      <w:rPr>
        <w:rFonts w:cs="Times New Roman"/>
        <w:b/>
        <w:bCs/>
        <w:sz w:val="16"/>
        <w:szCs w:val="16"/>
      </w:rPr>
      <w:t>o</w:t>
    </w:r>
    <w:r w:rsidRPr="00F648CB">
      <w:rPr>
        <w:rFonts w:cs="Times New Roman"/>
        <w:b/>
        <w:bCs/>
        <w:sz w:val="16"/>
        <w:szCs w:val="16"/>
      </w:rPr>
      <w:t>n</w:t>
    </w:r>
    <w:r w:rsidRPr="00850F32">
      <w:rPr>
        <w:rFonts w:ascii="微软雅黑" w:eastAsia="微软雅黑" w:hAnsi="微软雅黑" w:cs="微软雅黑" w:hint="eastAsia"/>
        <w:b/>
        <w:bCs/>
        <w:sz w:val="16"/>
        <w:szCs w:val="16"/>
      </w:rPr>
      <w:t>：</w:t>
    </w:r>
    <w:r w:rsidR="00850F32" w:rsidRPr="00850F32">
      <w:rPr>
        <w:rFonts w:cs="Times New Roman"/>
        <w:b/>
        <w:bCs/>
        <w:sz w:val="16"/>
        <w:szCs w:val="16"/>
      </w:rPr>
      <w:t>Morgana, C. (2026). Toward a cognitive-psychological framework of AI literacy and willingness to communicate in AI-enhanced EFL learning. Journal of Adaptive Learning and Psychological Growth, 1(1).</w:t>
    </w:r>
    <w:r w:rsidR="00850F32">
      <w:rPr>
        <w:rFonts w:cs="Times New Roman"/>
        <w:b/>
        <w:bCs/>
        <w:sz w:val="16"/>
        <w:szCs w:val="16"/>
      </w:rPr>
      <w:t xml:space="preserve"> </w:t>
    </w:r>
    <w:r w:rsidR="00C205D1">
      <w:rPr>
        <w:rFonts w:cs="Times New Roman"/>
        <w:b/>
        <w:bCs/>
        <w:sz w:val="16"/>
        <w:szCs w:val="16"/>
      </w:rPr>
      <w:t>80</w:t>
    </w:r>
    <w:r w:rsidR="00D36B4D">
      <w:rPr>
        <w:rFonts w:cs="Times New Roman" w:hint="eastAsia"/>
        <w:b/>
        <w:bCs/>
        <w:sz w:val="16"/>
        <w:szCs w:val="16"/>
      </w:rPr>
      <w:t>-</w:t>
    </w:r>
    <w:r w:rsidR="00850F32">
      <w:rPr>
        <w:rFonts w:cs="Times New Roman"/>
        <w:b/>
        <w:bCs/>
        <w:sz w:val="16"/>
        <w:szCs w:val="16"/>
      </w:rPr>
      <w:t>95</w:t>
    </w:r>
    <w:r w:rsidR="00D36B4D">
      <w:rPr>
        <w:rFonts w:cs="Times New Roman" w:hint="eastAsia"/>
        <w:b/>
        <w:bCs/>
        <w:sz w:val="16"/>
        <w:szCs w:val="16"/>
      </w:rPr>
      <w:t>.</w:t>
    </w:r>
  </w:p>
  <w:p w14:paraId="6B4A4272" w14:textId="5554E1BC" w:rsidR="00E33D0E" w:rsidRPr="007D2735" w:rsidRDefault="00631B2E" w:rsidP="007D2735">
    <w:pPr>
      <w:pStyle w:val="a4"/>
      <w:rPr>
        <w:rFonts w:eastAsia="微软雅黑" w:cs="Times New Roman"/>
        <w:b/>
        <w:bCs/>
        <w:sz w:val="16"/>
        <w:szCs w:val="16"/>
      </w:rPr>
    </w:pPr>
    <w:r>
      <w:rPr>
        <w:rFonts w:eastAsia="微软雅黑" w:cs="Times New Roman"/>
        <w:b/>
        <w:bCs/>
        <w:sz w:val="16"/>
        <w:szCs w:val="16"/>
      </w:rPr>
      <w:t>Published by J&amp;L Academic Group PLT. This is an open access article under the CC BY 4.0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D9B13" w14:textId="77777777" w:rsidR="00271F96" w:rsidRDefault="00271F96">
      <w:r>
        <w:separator/>
      </w:r>
    </w:p>
  </w:footnote>
  <w:footnote w:type="continuationSeparator" w:id="0">
    <w:p w14:paraId="769AEC25" w14:textId="77777777" w:rsidR="00271F96" w:rsidRDefault="00271F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B655C" w14:textId="4D80E752" w:rsidR="00E33D0E" w:rsidRDefault="00FC5AE8">
    <w:r>
      <w:rPr>
        <w:noProof/>
      </w:rPr>
      <w:drawing>
        <wp:anchor distT="0" distB="0" distL="114300" distR="114300" simplePos="0" relativeHeight="251666432" behindDoc="1" locked="0" layoutInCell="1" allowOverlap="1" wp14:anchorId="56DD9AB3" wp14:editId="2B6F2C61">
          <wp:simplePos x="0" y="0"/>
          <wp:positionH relativeFrom="column">
            <wp:posOffset>5287605</wp:posOffset>
          </wp:positionH>
          <wp:positionV relativeFrom="paragraph">
            <wp:posOffset>124514</wp:posOffset>
          </wp:positionV>
          <wp:extent cx="699770" cy="933450"/>
          <wp:effectExtent l="0" t="0" r="0" b="6350"/>
          <wp:wrapTight wrapText="bothSides">
            <wp:wrapPolygon edited="0">
              <wp:start x="0" y="0"/>
              <wp:lineTo x="0" y="21453"/>
              <wp:lineTo x="21169" y="21453"/>
              <wp:lineTo x="21169" y="0"/>
              <wp:lineTo x="0" y="0"/>
            </wp:wrapPolygon>
          </wp:wrapTight>
          <wp:docPr id="14062959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02060" name="图片 1421602060"/>
                  <pic:cNvPicPr/>
                </pic:nvPicPr>
                <pic:blipFill>
                  <a:blip r:embed="rId1">
                    <a:extLst>
                      <a:ext uri="{28A0092B-C50C-407E-A947-70E740481C1C}">
                        <a14:useLocalDpi xmlns:a14="http://schemas.microsoft.com/office/drawing/2010/main" val="0"/>
                      </a:ext>
                    </a:extLst>
                  </a:blip>
                  <a:stretch>
                    <a:fillRect/>
                  </a:stretch>
                </pic:blipFill>
                <pic:spPr>
                  <a:xfrm>
                    <a:off x="0" y="0"/>
                    <a:ext cx="699770" cy="933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C46D1E0" wp14:editId="32407105">
          <wp:simplePos x="0" y="0"/>
          <wp:positionH relativeFrom="column">
            <wp:posOffset>-89535</wp:posOffset>
          </wp:positionH>
          <wp:positionV relativeFrom="paragraph">
            <wp:posOffset>80010</wp:posOffset>
          </wp:positionV>
          <wp:extent cx="889635" cy="1024255"/>
          <wp:effectExtent l="0" t="0" r="0" b="4445"/>
          <wp:wrapTight wrapText="bothSides">
            <wp:wrapPolygon edited="0">
              <wp:start x="0" y="0"/>
              <wp:lineTo x="0" y="21426"/>
              <wp:lineTo x="21276" y="21426"/>
              <wp:lineTo x="21276" y="0"/>
              <wp:lineTo x="0" y="0"/>
            </wp:wrapPolygon>
          </wp:wrapTight>
          <wp:docPr id="16088910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52391" name="图片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89635" cy="1024255"/>
                  </a:xfrm>
                  <a:prstGeom prst="rect">
                    <a:avLst/>
                  </a:prstGeom>
                </pic:spPr>
              </pic:pic>
            </a:graphicData>
          </a:graphic>
          <wp14:sizeRelH relativeFrom="margin">
            <wp14:pctWidth>0</wp14:pctWidth>
          </wp14:sizeRelH>
          <wp14:sizeRelV relativeFrom="margin">
            <wp14:pctHeight>0</wp14:pctHeight>
          </wp14:sizeRelV>
        </wp:anchor>
      </w:drawing>
    </w:r>
    <w:r>
      <w:rPr>
        <w:rFonts w:ascii="Arial Bold" w:hAnsi="Arial Bold" w:cs="Arial Bold"/>
        <w:b/>
        <w:bCs/>
        <w:noProof/>
        <w:sz w:val="28"/>
        <w:szCs w:val="28"/>
      </w:rPr>
      <mc:AlternateContent>
        <mc:Choice Requires="wps">
          <w:drawing>
            <wp:anchor distT="0" distB="0" distL="114300" distR="114300" simplePos="0" relativeHeight="251663360" behindDoc="1" locked="0" layoutInCell="1" allowOverlap="1" wp14:anchorId="0E61121D" wp14:editId="7764BA49">
              <wp:simplePos x="0" y="0"/>
              <wp:positionH relativeFrom="column">
                <wp:posOffset>852170</wp:posOffset>
              </wp:positionH>
              <wp:positionV relativeFrom="paragraph">
                <wp:posOffset>95250</wp:posOffset>
              </wp:positionV>
              <wp:extent cx="4354195" cy="961390"/>
              <wp:effectExtent l="0" t="0" r="1905" b="4445"/>
              <wp:wrapNone/>
              <wp:docPr id="1466485545" name="矩形 7"/>
              <wp:cNvGraphicFramePr/>
              <a:graphic xmlns:a="http://schemas.openxmlformats.org/drawingml/2006/main">
                <a:graphicData uri="http://schemas.microsoft.com/office/word/2010/wordprocessingShape">
                  <wps:wsp>
                    <wps:cNvSpPr/>
                    <wps:spPr>
                      <a:xfrm>
                        <a:off x="0" y="0"/>
                        <a:ext cx="4354282" cy="961200"/>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9522D55" id="矩形 7" o:spid="_x0000_s1026" style="position:absolute;margin-left:67.1pt;margin-top:7.5pt;width:342.85pt;height:75.7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" fillcolor="#cfcdcd [2894]" stroked="f" strokeweight="1pt"/>
          </w:pict>
        </mc:Fallback>
      </mc:AlternateContent>
    </w:r>
  </w:p>
  <w:p w14:paraId="02FC6DBE" w14:textId="77777777" w:rsidR="00E33D0E" w:rsidRDefault="00E33D0E">
    <w:pPr>
      <w:spacing w:line="300" w:lineRule="exact"/>
      <w:jc w:val="center"/>
      <w:rPr>
        <w:rFonts w:ascii="Arial Bold" w:hAnsi="Arial Bold" w:cs="Arial Bold"/>
        <w:b/>
        <w:bCs/>
        <w:sz w:val="28"/>
        <w:szCs w:val="28"/>
      </w:rPr>
    </w:pPr>
  </w:p>
  <w:p w14:paraId="20C719DB" w14:textId="21CEA6E3" w:rsidR="002F4404" w:rsidRPr="002F4404" w:rsidRDefault="002F4404">
    <w:pPr>
      <w:spacing w:line="300" w:lineRule="exact"/>
      <w:jc w:val="center"/>
      <w:rPr>
        <w:rFonts w:ascii="Arial Bold" w:eastAsia="Bahnschrift" w:hAnsi="Arial Bold" w:cs="Arial Bold"/>
        <w:b/>
        <w:bCs/>
        <w:caps/>
        <w:color w:val="000000"/>
        <w:sz w:val="28"/>
        <w:szCs w:val="28"/>
      </w:rPr>
    </w:pPr>
    <w:r w:rsidRPr="002F4404">
      <w:rPr>
        <w:rFonts w:ascii="Arial Bold" w:eastAsia="Bahnschrift" w:hAnsi="Arial Bold" w:cs="Arial Bold"/>
        <w:b/>
        <w:bCs/>
        <w:caps/>
        <w:color w:val="000000"/>
        <w:sz w:val="28"/>
        <w:szCs w:val="28"/>
      </w:rPr>
      <w:t>Journal of Adaptive Learning and Psychological Growth</w:t>
    </w:r>
  </w:p>
  <w:p w14:paraId="7F82D4D9" w14:textId="19DA37F8" w:rsidR="00E33D0E" w:rsidRDefault="00000000">
    <w:pPr>
      <w:spacing w:line="300" w:lineRule="exact"/>
      <w:jc w:val="center"/>
      <w:rPr>
        <w:rFonts w:ascii="Arial Regular" w:eastAsia="Bahnschrift" w:hAnsi="Arial Regular" w:cs="Arial Regular"/>
        <w:smallCaps/>
        <w:color w:val="000000"/>
        <w:sz w:val="22"/>
        <w:szCs w:val="22"/>
      </w:rPr>
    </w:pPr>
    <w:r w:rsidRPr="00B3193F">
      <w:rPr>
        <w:rFonts w:ascii="Arial Regular" w:hAnsi="Arial Regular" w:cs="Arial Regular" w:hint="eastAsia"/>
        <w:sz w:val="18"/>
        <w:szCs w:val="18"/>
      </w:rPr>
      <w:t>202</w:t>
    </w:r>
    <w:r w:rsidR="00432161">
      <w:rPr>
        <w:rFonts w:ascii="Arial Regular" w:hAnsi="Arial Regular" w:cs="Arial Regular"/>
        <w:sz w:val="18"/>
        <w:szCs w:val="18"/>
      </w:rPr>
      <w:t>6</w:t>
    </w:r>
    <w:r w:rsidRPr="00B3193F">
      <w:rPr>
        <w:rFonts w:ascii="Arial Regular" w:hAnsi="Arial Regular" w:cs="Arial Regular" w:hint="eastAsia"/>
        <w:sz w:val="18"/>
        <w:szCs w:val="18"/>
      </w:rPr>
      <w:t xml:space="preserve"> </w:t>
    </w:r>
    <w:r w:rsidRPr="00B3193F">
      <w:rPr>
        <w:rFonts w:ascii="Arial Regular" w:hAnsi="Arial Regular" w:cs="Arial Regular"/>
        <w:sz w:val="18"/>
        <w:szCs w:val="18"/>
      </w:rPr>
      <w:t>Vol</w:t>
    </w:r>
    <w:r w:rsidR="00EB3F9A">
      <w:rPr>
        <w:rFonts w:ascii="Arial Regular" w:hAnsi="Arial Regular" w:cs="Arial Regular"/>
        <w:sz w:val="18"/>
        <w:szCs w:val="18"/>
      </w:rPr>
      <w:t>.</w:t>
    </w:r>
    <w:r w:rsidR="00B3193F" w:rsidRPr="00B3193F">
      <w:rPr>
        <w:rFonts w:ascii="Arial Regular" w:hAnsi="Arial Regular" w:cs="Arial Regular" w:hint="eastAsia"/>
        <w:sz w:val="18"/>
        <w:szCs w:val="18"/>
      </w:rPr>
      <w:t xml:space="preserve"> </w:t>
    </w:r>
    <w:r w:rsidR="002F4404">
      <w:rPr>
        <w:rFonts w:ascii="Arial Regular" w:hAnsi="Arial Regular" w:cs="Arial Regular"/>
        <w:sz w:val="18"/>
        <w:szCs w:val="18"/>
      </w:rPr>
      <w:t>1</w:t>
    </w:r>
    <w:r w:rsidRPr="00B3193F">
      <w:rPr>
        <w:rFonts w:ascii="Arial Regular" w:hAnsi="Arial Regular" w:cs="Arial Regular"/>
        <w:sz w:val="18"/>
        <w:szCs w:val="18"/>
      </w:rPr>
      <w:t>,</w:t>
    </w:r>
    <w:r w:rsidR="00EB3F9A">
      <w:rPr>
        <w:rFonts w:ascii="Arial Regular" w:hAnsi="Arial Regular" w:cs="Arial Regular"/>
        <w:sz w:val="18"/>
        <w:szCs w:val="18"/>
      </w:rPr>
      <w:t xml:space="preserve"> </w:t>
    </w:r>
    <w:r w:rsidR="00432161">
      <w:rPr>
        <w:rFonts w:ascii="Arial Regular" w:hAnsi="Arial Regular" w:cs="Arial Regular"/>
        <w:sz w:val="18"/>
        <w:szCs w:val="18"/>
      </w:rPr>
      <w:t>No</w:t>
    </w:r>
    <w:r w:rsidR="00EB3F9A">
      <w:rPr>
        <w:rFonts w:ascii="Arial Regular" w:hAnsi="Arial Regular" w:cs="Arial Regular"/>
        <w:sz w:val="18"/>
        <w:szCs w:val="18"/>
      </w:rPr>
      <w:t xml:space="preserve">. </w:t>
    </w:r>
    <w:r w:rsidR="002F4404">
      <w:rPr>
        <w:rFonts w:ascii="Arial Regular" w:hAnsi="Arial Regular" w:cs="Arial Regular"/>
        <w:sz w:val="18"/>
        <w:szCs w:val="18"/>
      </w:rPr>
      <w:t>1</w:t>
    </w:r>
  </w:p>
  <w:p w14:paraId="592C9027" w14:textId="77777777" w:rsidR="00E33D0E" w:rsidRDefault="00000000">
    <w:pPr>
      <w:pStyle w:val="a5"/>
    </w:pPr>
    <w:r>
      <w:rPr>
        <w:noProof/>
        <w:sz w:val="21"/>
      </w:rPr>
      <mc:AlternateContent>
        <mc:Choice Requires="wps">
          <w:drawing>
            <wp:anchor distT="0" distB="0" distL="114300" distR="114300" simplePos="0" relativeHeight="251661312" behindDoc="0" locked="0" layoutInCell="1" allowOverlap="1" wp14:anchorId="2B8E3731" wp14:editId="09E81591">
              <wp:simplePos x="0" y="0"/>
              <wp:positionH relativeFrom="column">
                <wp:posOffset>-62865</wp:posOffset>
              </wp:positionH>
              <wp:positionV relativeFrom="page">
                <wp:posOffset>1669415</wp:posOffset>
              </wp:positionV>
              <wp:extent cx="6115685" cy="0"/>
              <wp:effectExtent l="6350" t="6350" r="6350" b="6350"/>
              <wp:wrapNone/>
              <wp:docPr id="3" name="直接连接符 3"/>
              <wp:cNvGraphicFramePr/>
              <a:graphic xmlns:a="http://schemas.openxmlformats.org/drawingml/2006/main">
                <a:graphicData uri="http://schemas.microsoft.com/office/word/2010/wordprocessingShape">
                  <wps:wsp>
                    <wps:cNvCnPr/>
                    <wps:spPr>
                      <a:xfrm>
                        <a:off x="0" y="0"/>
                        <a:ext cx="6115685" cy="0"/>
                      </a:xfrm>
                      <a:prstGeom prst="line">
                        <a:avLst/>
                      </a:prstGeom>
                      <a:ln w="6350" cap="rnd">
                        <a:solidFill>
                          <a:prstClr val="black"/>
                        </a:solidFill>
                        <a:round/>
                        <a:headEnd type="none" w="med" len="med"/>
                        <a:tailEnd type="non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0D52E2D1" id="直接连接符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page" from="-4.95pt,131.45pt" to="476.6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" strokeweight=".5pt">
              <v:stroke endcap="round"/>
              <w10:wrap anchory="page"/>
            </v:line>
          </w:pict>
        </mc:Fallback>
      </mc:AlternateContent>
    </w:r>
    <w:r>
      <w:rPr>
        <w:noProof/>
        <w:sz w:val="21"/>
      </w:rPr>
      <mc:AlternateContent>
        <mc:Choice Requires="wps">
          <w:drawing>
            <wp:anchor distT="0" distB="0" distL="114300" distR="114300" simplePos="0" relativeHeight="251660288" behindDoc="0" locked="0" layoutInCell="1" allowOverlap="1" wp14:anchorId="27900916" wp14:editId="5BB94750">
              <wp:simplePos x="0" y="0"/>
              <wp:positionH relativeFrom="column">
                <wp:posOffset>-62865</wp:posOffset>
              </wp:positionH>
              <wp:positionV relativeFrom="page">
                <wp:posOffset>560070</wp:posOffset>
              </wp:positionV>
              <wp:extent cx="6115685" cy="0"/>
              <wp:effectExtent l="12700" t="12700" r="18415" b="12700"/>
              <wp:wrapNone/>
              <wp:docPr id="1" name="直接连接符 1"/>
              <wp:cNvGraphicFramePr/>
              <a:graphic xmlns:a="http://schemas.openxmlformats.org/drawingml/2006/main">
                <a:graphicData uri="http://schemas.microsoft.com/office/word/2010/wordprocessingShape">
                  <wps:wsp>
                    <wps:cNvCnPr/>
                    <wps:spPr>
                      <a:xfrm>
                        <a:off x="0" y="0"/>
                        <a:ext cx="6115685" cy="0"/>
                      </a:xfrm>
                      <a:prstGeom prst="line">
                        <a:avLst/>
                      </a:prstGeom>
                      <a:ln w="22225" cap="rnd">
                        <a:solidFill>
                          <a:prstClr val="black"/>
                        </a:solidFill>
                        <a:round/>
                        <a:headEnd type="none" w="med" len="med"/>
                        <a:tailEnd type="non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56662A6E" id="直接连接符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page" from="-4.95pt,44.1pt" to="476.6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" strokeweight="1.75pt">
              <v:stroke endcap="round"/>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60260"/>
    <w:multiLevelType w:val="multilevel"/>
    <w:tmpl w:val="02C6026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3E3461B"/>
    <w:multiLevelType w:val="multilevel"/>
    <w:tmpl w:val="03E3461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4507E88"/>
    <w:multiLevelType w:val="hybridMultilevel"/>
    <w:tmpl w:val="F9A84A96"/>
    <w:lvl w:ilvl="0" w:tplc="2278BA74">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66D1AFE"/>
    <w:multiLevelType w:val="multilevel"/>
    <w:tmpl w:val="166D1AF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D9B76FC"/>
    <w:multiLevelType w:val="multilevel"/>
    <w:tmpl w:val="1D9B76F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935231D"/>
    <w:multiLevelType w:val="multilevel"/>
    <w:tmpl w:val="2935231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B3831C2"/>
    <w:multiLevelType w:val="multilevel"/>
    <w:tmpl w:val="2B3831C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F312F2F"/>
    <w:multiLevelType w:val="multilevel"/>
    <w:tmpl w:val="2F312F2F"/>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34EF791E"/>
    <w:multiLevelType w:val="multilevel"/>
    <w:tmpl w:val="B1AA34E0"/>
    <w:lvl w:ilvl="0">
      <w:start w:val="4"/>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2C46045"/>
    <w:multiLevelType w:val="multilevel"/>
    <w:tmpl w:val="52C46045"/>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4BD2C43"/>
    <w:multiLevelType w:val="multilevel"/>
    <w:tmpl w:val="54BD2C4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5D2E7C80"/>
    <w:multiLevelType w:val="multilevel"/>
    <w:tmpl w:val="5D2E7C8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DDD065D"/>
    <w:multiLevelType w:val="multilevel"/>
    <w:tmpl w:val="7A8CE35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7073498A"/>
    <w:multiLevelType w:val="multilevel"/>
    <w:tmpl w:val="7073498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4360F82"/>
    <w:multiLevelType w:val="multilevel"/>
    <w:tmpl w:val="74360F8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779A1645"/>
    <w:multiLevelType w:val="multilevel"/>
    <w:tmpl w:val="779A164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714084911">
    <w:abstractNumId w:val="5"/>
  </w:num>
  <w:num w:numId="2" w16cid:durableId="187986949">
    <w:abstractNumId w:val="9"/>
  </w:num>
  <w:num w:numId="3" w16cid:durableId="2083409604">
    <w:abstractNumId w:val="8"/>
  </w:num>
  <w:num w:numId="4" w16cid:durableId="1131677327">
    <w:abstractNumId w:val="12"/>
  </w:num>
  <w:num w:numId="5" w16cid:durableId="799764027">
    <w:abstractNumId w:val="2"/>
  </w:num>
  <w:num w:numId="6" w16cid:durableId="392046489">
    <w:abstractNumId w:val="11"/>
  </w:num>
  <w:num w:numId="7" w16cid:durableId="1585605403">
    <w:abstractNumId w:val="0"/>
  </w:num>
  <w:num w:numId="8" w16cid:durableId="1433041198">
    <w:abstractNumId w:val="15"/>
  </w:num>
  <w:num w:numId="9" w16cid:durableId="1100294532">
    <w:abstractNumId w:val="13"/>
  </w:num>
  <w:num w:numId="10" w16cid:durableId="960264255">
    <w:abstractNumId w:val="1"/>
  </w:num>
  <w:num w:numId="11" w16cid:durableId="1875071766">
    <w:abstractNumId w:val="3"/>
  </w:num>
  <w:num w:numId="12" w16cid:durableId="1801268323">
    <w:abstractNumId w:val="14"/>
  </w:num>
  <w:num w:numId="13" w16cid:durableId="1042709015">
    <w:abstractNumId w:val="4"/>
  </w:num>
  <w:num w:numId="14" w16cid:durableId="1288122415">
    <w:abstractNumId w:val="6"/>
  </w:num>
  <w:num w:numId="15" w16cid:durableId="2055277319">
    <w:abstractNumId w:val="10"/>
  </w:num>
  <w:num w:numId="16" w16cid:durableId="10056701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GRiYzRkMjlhMzUzNjE2NjI0YzhmYzEyYTYyOWEyNWQifQ=="/>
  </w:docVars>
  <w:rsids>
    <w:rsidRoot w:val="3FDB5E60"/>
    <w:rsid w:val="00AE585C"/>
    <w:rsid w:val="3FDB5E60"/>
    <w:rsid w:val="A7F6BEDD"/>
    <w:rsid w:val="AEC7F444"/>
    <w:rsid w:val="AF3B2F2E"/>
    <w:rsid w:val="AF67E311"/>
    <w:rsid w:val="AFBB40B3"/>
    <w:rsid w:val="B3DC48A6"/>
    <w:rsid w:val="B7DE0D6A"/>
    <w:rsid w:val="B7FF7299"/>
    <w:rsid w:val="BAAFB8AA"/>
    <w:rsid w:val="BBBF22D4"/>
    <w:rsid w:val="BDFF48F0"/>
    <w:rsid w:val="BF939117"/>
    <w:rsid w:val="BFA65C58"/>
    <w:rsid w:val="BFFB99C2"/>
    <w:rsid w:val="D6FB147E"/>
    <w:rsid w:val="D6FD744D"/>
    <w:rsid w:val="DBDFDAD7"/>
    <w:rsid w:val="DD5DA90A"/>
    <w:rsid w:val="DDDDD7D7"/>
    <w:rsid w:val="DE751F95"/>
    <w:rsid w:val="DFF79CD2"/>
    <w:rsid w:val="DFFEC095"/>
    <w:rsid w:val="DFFF17ED"/>
    <w:rsid w:val="E37F829B"/>
    <w:rsid w:val="E5FFAD1E"/>
    <w:rsid w:val="E7678AD9"/>
    <w:rsid w:val="EF8C4486"/>
    <w:rsid w:val="EF9F88D1"/>
    <w:rsid w:val="EFEC0484"/>
    <w:rsid w:val="EFF39400"/>
    <w:rsid w:val="F1AB3D55"/>
    <w:rsid w:val="F3AF2910"/>
    <w:rsid w:val="F47E8020"/>
    <w:rsid w:val="F5FE9B83"/>
    <w:rsid w:val="F6FFE4C6"/>
    <w:rsid w:val="F7FE1357"/>
    <w:rsid w:val="F9B713AD"/>
    <w:rsid w:val="F9DF0CBF"/>
    <w:rsid w:val="FA77601E"/>
    <w:rsid w:val="FBB9700A"/>
    <w:rsid w:val="FCD9BE07"/>
    <w:rsid w:val="FE776AC4"/>
    <w:rsid w:val="FE9F5FA6"/>
    <w:rsid w:val="FEE774AC"/>
    <w:rsid w:val="FF6F48A6"/>
    <w:rsid w:val="FF73FEB3"/>
    <w:rsid w:val="FF8BF6A9"/>
    <w:rsid w:val="FF8FFB5C"/>
    <w:rsid w:val="FFBF2744"/>
    <w:rsid w:val="FFF79F72"/>
    <w:rsid w:val="FFFAD6FB"/>
    <w:rsid w:val="FFFDF3B0"/>
    <w:rsid w:val="FFFF2604"/>
    <w:rsid w:val="FFFF6B71"/>
    <w:rsid w:val="FFFFE355"/>
    <w:rsid w:val="00013CB0"/>
    <w:rsid w:val="00034A11"/>
    <w:rsid w:val="0005508A"/>
    <w:rsid w:val="00061010"/>
    <w:rsid w:val="00067DDF"/>
    <w:rsid w:val="00073835"/>
    <w:rsid w:val="00076E3C"/>
    <w:rsid w:val="000A06BC"/>
    <w:rsid w:val="000C0744"/>
    <w:rsid w:val="000C111B"/>
    <w:rsid w:val="000D083A"/>
    <w:rsid w:val="000D16F0"/>
    <w:rsid w:val="000D4E26"/>
    <w:rsid w:val="000D6258"/>
    <w:rsid w:val="00120332"/>
    <w:rsid w:val="00124840"/>
    <w:rsid w:val="00124F73"/>
    <w:rsid w:val="00136135"/>
    <w:rsid w:val="00142E36"/>
    <w:rsid w:val="001455D5"/>
    <w:rsid w:val="00170398"/>
    <w:rsid w:val="00172713"/>
    <w:rsid w:val="001A252D"/>
    <w:rsid w:val="001A315F"/>
    <w:rsid w:val="001B1BD2"/>
    <w:rsid w:val="001B7CBF"/>
    <w:rsid w:val="00206FF5"/>
    <w:rsid w:val="0022344B"/>
    <w:rsid w:val="002308AB"/>
    <w:rsid w:val="0023491D"/>
    <w:rsid w:val="00251123"/>
    <w:rsid w:val="00271F96"/>
    <w:rsid w:val="00276133"/>
    <w:rsid w:val="0028505F"/>
    <w:rsid w:val="002C5259"/>
    <w:rsid w:val="002F2724"/>
    <w:rsid w:val="002F4404"/>
    <w:rsid w:val="00310201"/>
    <w:rsid w:val="00332D4B"/>
    <w:rsid w:val="00342844"/>
    <w:rsid w:val="00376F70"/>
    <w:rsid w:val="00390B5C"/>
    <w:rsid w:val="003B4B8F"/>
    <w:rsid w:val="003B5DEB"/>
    <w:rsid w:val="003C1EAD"/>
    <w:rsid w:val="003D427A"/>
    <w:rsid w:val="003E1909"/>
    <w:rsid w:val="003F6093"/>
    <w:rsid w:val="003F7635"/>
    <w:rsid w:val="00432161"/>
    <w:rsid w:val="0043602F"/>
    <w:rsid w:val="004413F2"/>
    <w:rsid w:val="0044574F"/>
    <w:rsid w:val="00460276"/>
    <w:rsid w:val="00480C1F"/>
    <w:rsid w:val="00496C06"/>
    <w:rsid w:val="004B135B"/>
    <w:rsid w:val="004B6E24"/>
    <w:rsid w:val="004E5039"/>
    <w:rsid w:val="004F5C98"/>
    <w:rsid w:val="00526A8B"/>
    <w:rsid w:val="005306EC"/>
    <w:rsid w:val="00531014"/>
    <w:rsid w:val="00534AA2"/>
    <w:rsid w:val="00564E12"/>
    <w:rsid w:val="005B1E1C"/>
    <w:rsid w:val="00601E2B"/>
    <w:rsid w:val="00631B2E"/>
    <w:rsid w:val="00670A11"/>
    <w:rsid w:val="00672A33"/>
    <w:rsid w:val="006732B3"/>
    <w:rsid w:val="00695F9F"/>
    <w:rsid w:val="006C40F0"/>
    <w:rsid w:val="006D29B3"/>
    <w:rsid w:val="006F344C"/>
    <w:rsid w:val="007022DC"/>
    <w:rsid w:val="00712F23"/>
    <w:rsid w:val="00717390"/>
    <w:rsid w:val="0072179C"/>
    <w:rsid w:val="00727445"/>
    <w:rsid w:val="00741EA5"/>
    <w:rsid w:val="00747F1B"/>
    <w:rsid w:val="0076509C"/>
    <w:rsid w:val="0079290A"/>
    <w:rsid w:val="00794DC6"/>
    <w:rsid w:val="007A626F"/>
    <w:rsid w:val="007A68E4"/>
    <w:rsid w:val="007A730A"/>
    <w:rsid w:val="007D0B62"/>
    <w:rsid w:val="007D2735"/>
    <w:rsid w:val="007E6F2D"/>
    <w:rsid w:val="00815751"/>
    <w:rsid w:val="0082009E"/>
    <w:rsid w:val="008262EC"/>
    <w:rsid w:val="00834AFB"/>
    <w:rsid w:val="00837F4D"/>
    <w:rsid w:val="00850F32"/>
    <w:rsid w:val="0087099C"/>
    <w:rsid w:val="00874EBC"/>
    <w:rsid w:val="00884438"/>
    <w:rsid w:val="0088684F"/>
    <w:rsid w:val="008B253E"/>
    <w:rsid w:val="008F0981"/>
    <w:rsid w:val="00912F3C"/>
    <w:rsid w:val="00920352"/>
    <w:rsid w:val="00923F67"/>
    <w:rsid w:val="00953367"/>
    <w:rsid w:val="0095363C"/>
    <w:rsid w:val="00955CE4"/>
    <w:rsid w:val="00976F33"/>
    <w:rsid w:val="009B0BAC"/>
    <w:rsid w:val="009C308B"/>
    <w:rsid w:val="009C49A1"/>
    <w:rsid w:val="00A02816"/>
    <w:rsid w:val="00A45DC0"/>
    <w:rsid w:val="00A87BB7"/>
    <w:rsid w:val="00A92213"/>
    <w:rsid w:val="00AE585C"/>
    <w:rsid w:val="00AE7690"/>
    <w:rsid w:val="00AF7FED"/>
    <w:rsid w:val="00B277DB"/>
    <w:rsid w:val="00B3193F"/>
    <w:rsid w:val="00B41FCC"/>
    <w:rsid w:val="00B47A47"/>
    <w:rsid w:val="00B508B9"/>
    <w:rsid w:val="00B839DE"/>
    <w:rsid w:val="00B91E1A"/>
    <w:rsid w:val="00BA328B"/>
    <w:rsid w:val="00BC521F"/>
    <w:rsid w:val="00BD350E"/>
    <w:rsid w:val="00BE2E80"/>
    <w:rsid w:val="00C020D6"/>
    <w:rsid w:val="00C205D1"/>
    <w:rsid w:val="00C32D8C"/>
    <w:rsid w:val="00C3644F"/>
    <w:rsid w:val="00C54677"/>
    <w:rsid w:val="00C73AC7"/>
    <w:rsid w:val="00C77039"/>
    <w:rsid w:val="00C77CC9"/>
    <w:rsid w:val="00C87C8B"/>
    <w:rsid w:val="00C93754"/>
    <w:rsid w:val="00CB7B0B"/>
    <w:rsid w:val="00CC2243"/>
    <w:rsid w:val="00CC2D9C"/>
    <w:rsid w:val="00CE0318"/>
    <w:rsid w:val="00CE0EED"/>
    <w:rsid w:val="00CE3826"/>
    <w:rsid w:val="00CF510D"/>
    <w:rsid w:val="00D02AC6"/>
    <w:rsid w:val="00D04FF2"/>
    <w:rsid w:val="00D31229"/>
    <w:rsid w:val="00D312AD"/>
    <w:rsid w:val="00D36B4D"/>
    <w:rsid w:val="00D37585"/>
    <w:rsid w:val="00D6139C"/>
    <w:rsid w:val="00D616DE"/>
    <w:rsid w:val="00DB4C9C"/>
    <w:rsid w:val="00DB7E1E"/>
    <w:rsid w:val="00DC7226"/>
    <w:rsid w:val="00DD2D8A"/>
    <w:rsid w:val="00DD7DC4"/>
    <w:rsid w:val="00E06070"/>
    <w:rsid w:val="00E13FB0"/>
    <w:rsid w:val="00E218D2"/>
    <w:rsid w:val="00E26950"/>
    <w:rsid w:val="00E27270"/>
    <w:rsid w:val="00E33D0E"/>
    <w:rsid w:val="00E33DDB"/>
    <w:rsid w:val="00E4653A"/>
    <w:rsid w:val="00E65E1A"/>
    <w:rsid w:val="00E73F7A"/>
    <w:rsid w:val="00EA57D0"/>
    <w:rsid w:val="00EB3F9A"/>
    <w:rsid w:val="00EB77B5"/>
    <w:rsid w:val="00ED1268"/>
    <w:rsid w:val="00EE3BD8"/>
    <w:rsid w:val="00F02F58"/>
    <w:rsid w:val="00F1074C"/>
    <w:rsid w:val="00F11C7C"/>
    <w:rsid w:val="00F14B65"/>
    <w:rsid w:val="00F17188"/>
    <w:rsid w:val="00F30AC4"/>
    <w:rsid w:val="00F318DC"/>
    <w:rsid w:val="00F648CB"/>
    <w:rsid w:val="00F678DA"/>
    <w:rsid w:val="00F755AE"/>
    <w:rsid w:val="00F84FC2"/>
    <w:rsid w:val="00F90777"/>
    <w:rsid w:val="00FC5AE8"/>
    <w:rsid w:val="00FD51B0"/>
    <w:rsid w:val="05C06589"/>
    <w:rsid w:val="09FFF3BD"/>
    <w:rsid w:val="0B200D11"/>
    <w:rsid w:val="17D84181"/>
    <w:rsid w:val="1B5F647B"/>
    <w:rsid w:val="1DF8879C"/>
    <w:rsid w:val="27B6DFD1"/>
    <w:rsid w:val="2CE35FFE"/>
    <w:rsid w:val="2D340DEB"/>
    <w:rsid w:val="2D4F2943"/>
    <w:rsid w:val="2DB7F98B"/>
    <w:rsid w:val="2E770157"/>
    <w:rsid w:val="3B3F689D"/>
    <w:rsid w:val="3B7D37DB"/>
    <w:rsid w:val="3BF7A02D"/>
    <w:rsid w:val="3E31B96F"/>
    <w:rsid w:val="3E3E5826"/>
    <w:rsid w:val="3EEED35B"/>
    <w:rsid w:val="3FDB5E60"/>
    <w:rsid w:val="3FED2057"/>
    <w:rsid w:val="3FFDD595"/>
    <w:rsid w:val="41B71931"/>
    <w:rsid w:val="4D48507E"/>
    <w:rsid w:val="4DBF8E54"/>
    <w:rsid w:val="4EFE5DE4"/>
    <w:rsid w:val="517D7C2E"/>
    <w:rsid w:val="548A0EEA"/>
    <w:rsid w:val="5ACD2C59"/>
    <w:rsid w:val="5FCFBEFF"/>
    <w:rsid w:val="61843725"/>
    <w:rsid w:val="63FC140D"/>
    <w:rsid w:val="667C4C7A"/>
    <w:rsid w:val="67794AD9"/>
    <w:rsid w:val="67993327"/>
    <w:rsid w:val="690B3AE7"/>
    <w:rsid w:val="6D5D0B79"/>
    <w:rsid w:val="6DEF25FE"/>
    <w:rsid w:val="6FEEB253"/>
    <w:rsid w:val="6FF5BC86"/>
    <w:rsid w:val="757F57A2"/>
    <w:rsid w:val="78F45BFA"/>
    <w:rsid w:val="79FF82A5"/>
    <w:rsid w:val="7AEBD648"/>
    <w:rsid w:val="7B797925"/>
    <w:rsid w:val="7CBE921F"/>
    <w:rsid w:val="7DBFCE1E"/>
    <w:rsid w:val="7DDDB5A9"/>
    <w:rsid w:val="7DF7B36C"/>
    <w:rsid w:val="7E6DC286"/>
    <w:rsid w:val="7EEFDAFD"/>
    <w:rsid w:val="7FFA63D9"/>
    <w:rsid w:val="7FFE27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DD39EEF"/>
  <w15:docId w15:val="{0C4F4AB8-F97D-4A48-8BA5-931C64408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2" w:qFormat="1"/>
    <w:lsdException w:name="heading 2" w:uiPriority="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uiPriority="35" w:unhideWhenUsed="1" w:qFormat="1"/>
    <w:lsdException w:name="Title" w:uiPriority="1" w:qFormat="1"/>
    <w:lsdException w:name="Default Paragraph Font" w:semiHidden="1" w:uiPriority="1" w:unhideWhenUsed="1" w:qFormat="1"/>
    <w:lsdException w:name="Subtitle" w:qFormat="1"/>
    <w:lsdException w:name="Hyperlink" w:qFormat="1"/>
    <w:lsdException w:name="Followed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t" w:cstheme="minorBidi"/>
      <w:kern w:val="2"/>
      <w:sz w:val="21"/>
      <w:szCs w:val="24"/>
    </w:rPr>
  </w:style>
  <w:style w:type="paragraph" w:styleId="1">
    <w:name w:val="heading 1"/>
    <w:basedOn w:val="a"/>
    <w:next w:val="a"/>
    <w:link w:val="10"/>
    <w:uiPriority w:val="2"/>
    <w:qFormat/>
    <w:rsid w:val="009C308B"/>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before="120"/>
      <w:jc w:val="center"/>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qFormat/>
    <w:pPr>
      <w:spacing w:beforeAutospacing="1" w:afterAutospacing="1"/>
      <w:jc w:val="left"/>
    </w:pPr>
    <w:rPr>
      <w:rFonts w:cs="Times New Roman"/>
      <w:kern w:val="0"/>
      <w:sz w:val="24"/>
    </w:rPr>
  </w:style>
  <w:style w:type="table" w:styleId="a7">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Pr>
      <w:b/>
    </w:rPr>
  </w:style>
  <w:style w:type="character" w:styleId="a9">
    <w:name w:val="FollowedHyperlink"/>
    <w:basedOn w:val="a0"/>
    <w:qFormat/>
    <w:rPr>
      <w:color w:val="800080"/>
      <w:u w:val="single"/>
    </w:rPr>
  </w:style>
  <w:style w:type="character" w:styleId="aa">
    <w:name w:val="Emphasis"/>
    <w:basedOn w:val="a0"/>
    <w:uiPriority w:val="20"/>
    <w:qFormat/>
    <w:rPr>
      <w:i/>
    </w:rPr>
  </w:style>
  <w:style w:type="character" w:styleId="ab">
    <w:name w:val="Hyperlink"/>
    <w:basedOn w:val="a0"/>
    <w:qFormat/>
    <w:rPr>
      <w:color w:val="0000FF"/>
      <w:u w:val="single"/>
    </w:rPr>
  </w:style>
  <w:style w:type="paragraph" w:customStyle="1" w:styleId="ac">
    <w:name w:val="论文标题"/>
    <w:basedOn w:val="a"/>
    <w:qFormat/>
    <w:pPr>
      <w:jc w:val="center"/>
    </w:pPr>
    <w:rPr>
      <w:rFonts w:eastAsia="Times New Roman" w:cs="Times New Roman"/>
      <w:b/>
      <w:sz w:val="28"/>
      <w:szCs w:val="28"/>
    </w:rPr>
  </w:style>
  <w:style w:type="paragraph" w:customStyle="1" w:styleId="ad">
    <w:name w:val="作者名字"/>
    <w:basedOn w:val="a"/>
    <w:qFormat/>
    <w:rPr>
      <w:rFonts w:eastAsia="Times New Roman" w:cs="Times New Roman"/>
      <w:b/>
    </w:rPr>
  </w:style>
  <w:style w:type="paragraph" w:customStyle="1" w:styleId="ae">
    <w:name w:val="作者单位"/>
    <w:basedOn w:val="a"/>
    <w:qFormat/>
    <w:pPr>
      <w:spacing w:after="120"/>
    </w:pPr>
    <w:rPr>
      <w:rFonts w:eastAsia="Times New Roman" w:cs="Times New Roman"/>
      <w:i/>
    </w:rPr>
  </w:style>
  <w:style w:type="paragraph" w:styleId="af">
    <w:name w:val="List Paragraph"/>
    <w:basedOn w:val="a"/>
    <w:uiPriority w:val="34"/>
    <w:qFormat/>
    <w:pPr>
      <w:ind w:left="720"/>
      <w:contextualSpacing/>
    </w:pPr>
    <w:rPr>
      <w:sz w:val="26"/>
    </w:rPr>
  </w:style>
  <w:style w:type="table" w:customStyle="1" w:styleId="Style60">
    <w:name w:val="_Style 60"/>
    <w:basedOn w:val="a1"/>
    <w:qFormat/>
    <w:rPr>
      <w:rFonts w:eastAsia="Times New Roman"/>
    </w:rPr>
    <w:tblPr/>
  </w:style>
  <w:style w:type="paragraph" w:customStyle="1" w:styleId="p1">
    <w:name w:val="p1"/>
    <w:basedOn w:val="a"/>
    <w:qFormat/>
    <w:pPr>
      <w:jc w:val="left"/>
    </w:pPr>
    <w:rPr>
      <w:rFonts w:ascii=".sf ns" w:eastAsia=".sf ns" w:hAnsi=".sf ns" w:cs="Times New Roman"/>
      <w:color w:val="0E0E0E"/>
      <w:kern w:val="0"/>
      <w:sz w:val="28"/>
      <w:szCs w:val="28"/>
    </w:rPr>
  </w:style>
  <w:style w:type="paragraph" w:customStyle="1" w:styleId="p2">
    <w:name w:val="p2"/>
    <w:basedOn w:val="a"/>
    <w:qFormat/>
    <w:pPr>
      <w:jc w:val="left"/>
    </w:pPr>
    <w:rPr>
      <w:rFonts w:ascii=".sf ns" w:eastAsia=".sf ns" w:hAnsi=".sf ns" w:cs="Times New Roman"/>
      <w:color w:val="0E0E0E"/>
      <w:kern w:val="0"/>
      <w:sz w:val="28"/>
      <w:szCs w:val="28"/>
    </w:rPr>
  </w:style>
  <w:style w:type="paragraph" w:customStyle="1" w:styleId="p3">
    <w:name w:val="p3"/>
    <w:basedOn w:val="a"/>
    <w:qFormat/>
    <w:pPr>
      <w:jc w:val="left"/>
    </w:pPr>
    <w:rPr>
      <w:rFonts w:ascii=".sf ns" w:eastAsia=".sf ns" w:hAnsi=".sf ns" w:cs="Times New Roman"/>
      <w:color w:val="0E0E0E"/>
      <w:kern w:val="0"/>
      <w:sz w:val="28"/>
      <w:szCs w:val="28"/>
    </w:rPr>
  </w:style>
  <w:style w:type="table" w:customStyle="1" w:styleId="Style61">
    <w:name w:val="_Style 61"/>
    <w:basedOn w:val="a1"/>
    <w:qFormat/>
    <w:tblPr>
      <w:tblCellMar>
        <w:top w:w="100" w:type="dxa"/>
        <w:left w:w="100" w:type="dxa"/>
        <w:bottom w:w="100" w:type="dxa"/>
        <w:right w:w="100" w:type="dxa"/>
      </w:tblCellMar>
    </w:tblPr>
  </w:style>
  <w:style w:type="character" w:customStyle="1" w:styleId="15">
    <w:name w:val="15"/>
    <w:basedOn w:val="a0"/>
    <w:qFormat/>
    <w:rPr>
      <w:rFonts w:ascii="t" w:hAnsi="t" w:hint="default"/>
      <w:color w:val="0000FF"/>
      <w:u w:val="single"/>
    </w:rPr>
  </w:style>
  <w:style w:type="character" w:customStyle="1" w:styleId="s1">
    <w:name w:val="s1"/>
    <w:basedOn w:val="a0"/>
    <w:qFormat/>
    <w:rPr>
      <w:rFonts w:ascii="PingFang SC" w:eastAsia="PingFang SC" w:hAnsi="PingFang SC" w:cs="PingFang SC"/>
      <w:sz w:val="26"/>
      <w:szCs w:val="26"/>
    </w:rPr>
  </w:style>
  <w:style w:type="character" w:customStyle="1" w:styleId="s2">
    <w:name w:val="s2"/>
    <w:basedOn w:val="a0"/>
    <w:qFormat/>
    <w:rPr>
      <w:color w:val="DCA10D"/>
    </w:rPr>
  </w:style>
  <w:style w:type="paragraph" w:customStyle="1" w:styleId="PARATABLE">
    <w:name w:val="PARA TABLE"/>
    <w:basedOn w:val="a"/>
    <w:next w:val="a"/>
    <w:qFormat/>
    <w:rsid w:val="0088684F"/>
    <w:pPr>
      <w:widowControl/>
      <w:spacing w:before="60" w:after="60"/>
    </w:pPr>
    <w:rPr>
      <w:rFonts w:eastAsia="宋体" w:cs="宋体"/>
      <w:bCs/>
      <w:kern w:val="0"/>
      <w:sz w:val="22"/>
      <w:lang w:val="en-MY"/>
    </w:rPr>
  </w:style>
  <w:style w:type="paragraph" w:styleId="af0">
    <w:name w:val="Revision"/>
    <w:hidden/>
    <w:uiPriority w:val="99"/>
    <w:unhideWhenUsed/>
    <w:rsid w:val="00F84FC2"/>
    <w:rPr>
      <w:rFonts w:eastAsia="t" w:cstheme="minorBidi"/>
      <w:kern w:val="2"/>
      <w:sz w:val="21"/>
      <w:szCs w:val="24"/>
    </w:rPr>
  </w:style>
  <w:style w:type="character" w:styleId="af1">
    <w:name w:val="Unresolved Mention"/>
    <w:basedOn w:val="a0"/>
    <w:uiPriority w:val="99"/>
    <w:semiHidden/>
    <w:unhideWhenUsed/>
    <w:rsid w:val="001B7CBF"/>
    <w:rPr>
      <w:color w:val="605E5C"/>
      <w:shd w:val="clear" w:color="auto" w:fill="E1DFDD"/>
    </w:rPr>
  </w:style>
  <w:style w:type="paragraph" w:customStyle="1" w:styleId="Authornames">
    <w:name w:val="Author names"/>
    <w:basedOn w:val="a"/>
    <w:next w:val="a"/>
    <w:qFormat/>
    <w:rsid w:val="00013CB0"/>
    <w:pPr>
      <w:widowControl/>
      <w:spacing w:before="240" w:line="360" w:lineRule="auto"/>
      <w:jc w:val="left"/>
    </w:pPr>
    <w:rPr>
      <w:rFonts w:eastAsia="宋体" w:cs="Times New Roman"/>
      <w:kern w:val="0"/>
      <w:sz w:val="28"/>
      <w:lang w:val="en-GB" w:eastAsia="en-GB"/>
    </w:rPr>
  </w:style>
  <w:style w:type="paragraph" w:customStyle="1" w:styleId="Affiliation">
    <w:name w:val="Affiliation"/>
    <w:basedOn w:val="a"/>
    <w:qFormat/>
    <w:rsid w:val="006D29B3"/>
    <w:pPr>
      <w:widowControl/>
      <w:spacing w:before="240" w:line="360" w:lineRule="auto"/>
      <w:jc w:val="left"/>
    </w:pPr>
    <w:rPr>
      <w:rFonts w:eastAsia="宋体" w:cs="Times New Roman"/>
      <w:i/>
      <w:kern w:val="0"/>
      <w:sz w:val="24"/>
      <w:lang w:val="en-GB" w:eastAsia="en-GB"/>
    </w:rPr>
  </w:style>
  <w:style w:type="character" w:customStyle="1" w:styleId="10">
    <w:name w:val="标题 1 字符"/>
    <w:basedOn w:val="a0"/>
    <w:link w:val="1"/>
    <w:uiPriority w:val="2"/>
    <w:rsid w:val="009C308B"/>
    <w:rPr>
      <w:rFonts w:eastAsia="t" w:cstheme="minorBidi"/>
      <w:b/>
      <w:bCs/>
      <w:kern w:val="44"/>
      <w:sz w:val="44"/>
      <w:szCs w:val="44"/>
    </w:rPr>
  </w:style>
  <w:style w:type="paragraph" w:customStyle="1" w:styleId="DecimalAligned">
    <w:name w:val="Decimal Aligned"/>
    <w:basedOn w:val="a"/>
    <w:uiPriority w:val="40"/>
    <w:qFormat/>
    <w:rsid w:val="00526A8B"/>
    <w:pPr>
      <w:widowControl/>
      <w:tabs>
        <w:tab w:val="decimal" w:pos="360"/>
      </w:tabs>
      <w:spacing w:after="200" w:line="276" w:lineRule="auto"/>
      <w:jc w:val="left"/>
    </w:pPr>
    <w:rPr>
      <w:rFonts w:ascii="Calibri" w:eastAsia="宋体" w:hAnsi="Calibri" w:cs="Times New Roman"/>
      <w:kern w:val="0"/>
      <w:sz w:val="22"/>
      <w:szCs w:val="22"/>
    </w:rPr>
  </w:style>
  <w:style w:type="paragraph" w:customStyle="1" w:styleId="Newparagraph">
    <w:name w:val="New paragraph"/>
    <w:basedOn w:val="a"/>
    <w:qFormat/>
    <w:rsid w:val="00526A8B"/>
    <w:pPr>
      <w:widowControl/>
      <w:spacing w:line="480" w:lineRule="auto"/>
      <w:ind w:firstLine="720"/>
      <w:jc w:val="left"/>
    </w:pPr>
    <w:rPr>
      <w:rFonts w:eastAsia="宋体" w:cs="Times New Roman"/>
      <w:kern w:val="0"/>
      <w:sz w:val="24"/>
      <w:lang w:val="en-GB" w:eastAsia="en-GB"/>
    </w:rPr>
  </w:style>
  <w:style w:type="paragraph" w:customStyle="1" w:styleId="J01A-author">
    <w:name w:val="J01A-author"/>
    <w:basedOn w:val="a"/>
    <w:qFormat/>
    <w:rsid w:val="00874EBC"/>
    <w:rPr>
      <w:rFonts w:ascii="STIX Two Text Medium" w:eastAsiaTheme="minorEastAsia" w:hAnsi="STIX Two Text Medium"/>
      <w:sz w:val="20"/>
      <w:szCs w:val="22"/>
    </w:rPr>
  </w:style>
  <w:style w:type="table" w:customStyle="1" w:styleId="TableNormal">
    <w:name w:val="Table Normal"/>
    <w:semiHidden/>
    <w:unhideWhenUsed/>
    <w:qFormat/>
    <w:rsid w:val="00874EBC"/>
    <w:tblPr>
      <w:tblCellMar>
        <w:top w:w="0" w:type="dxa"/>
        <w:left w:w="0" w:type="dxa"/>
        <w:bottom w:w="0" w:type="dxa"/>
        <w:right w:w="0" w:type="dxa"/>
      </w:tblCellMar>
    </w:tblPr>
  </w:style>
  <w:style w:type="paragraph" w:customStyle="1" w:styleId="TableText">
    <w:name w:val="Table Text"/>
    <w:basedOn w:val="a"/>
    <w:semiHidden/>
    <w:qFormat/>
    <w:rsid w:val="00874EBC"/>
    <w:rPr>
      <w:rFonts w:eastAsia="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16</Pages>
  <Words>9534</Words>
  <Characters>54346</Characters>
  <Application>Microsoft Office Word</Application>
  <DocSecurity>0</DocSecurity>
  <Lines>452</Lines>
  <Paragraphs>127</Paragraphs>
  <ScaleCrop>false</ScaleCrop>
  <Company/>
  <LinksUpToDate>false</LinksUpToDate>
  <CharactersWithSpaces>63753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陳未來</dc:creator>
  <cp:lastModifiedBy>QINYAO</cp:lastModifiedBy>
  <cp:revision>32</cp:revision>
  <cp:lastPrinted>2026-02-19T10:59:00Z</cp:lastPrinted>
  <dcterms:created xsi:type="dcterms:W3CDTF">2025-12-02T05:05:00Z</dcterms:created>
  <dcterms:modified xsi:type="dcterms:W3CDTF">2026-04-08T09:55:00Z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AAC144AF6DFEA6A162423068923CA37B_43</vt:lpwstr>
  </property>
  <property fmtid="{D5CDD505-2E9C-101B-9397-08002B2CF9AE}" pid="4" name="KSOTemplateDocerSaveRecord">
    <vt:lpwstr>eyJoZGlkIjoiNzdlYWFiZWUwNzQwMWFhZTBiZjFkY2YzYmNhMjNiODYiLCJ1c2VySWQiOiI0MTA2MDkzNjMifQ==</vt:lpwstr>
  </property>
</Properties>
</file>