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4FE27" w14:textId="77777777" w:rsidR="004F5AFF" w:rsidRDefault="004F5AFF">
      <w:pPr>
        <w:spacing w:after="120"/>
        <w:rPr>
          <w:rFonts w:ascii="黑体" w:eastAsia="黑体" w:hAnsi="黑体" w:cs="黑体"/>
          <w:sz w:val="44"/>
          <w:szCs w:val="44"/>
        </w:rPr>
      </w:pPr>
    </w:p>
    <w:p w14:paraId="4FA71394" w14:textId="77777777" w:rsidR="004F5AFF" w:rsidRDefault="00000000">
      <w:pPr>
        <w:spacing w:line="400" w:lineRule="atLeast"/>
        <w:ind w:left="880" w:hangingChars="200" w:hanging="880"/>
        <w:jc w:val="center"/>
        <w:rPr>
          <w:rFonts w:ascii="黑体" w:eastAsia="黑体" w:hAnsi="黑体" w:cs="黑体"/>
          <w:sz w:val="44"/>
          <w:szCs w:val="44"/>
        </w:rPr>
      </w:pPr>
      <w:r>
        <w:rPr>
          <w:rFonts w:ascii="黑体" w:eastAsia="黑体" w:hAnsi="黑体" w:cs="黑体" w:hint="eastAsia"/>
          <w:sz w:val="44"/>
          <w:szCs w:val="44"/>
        </w:rPr>
        <w:t>城市绿地微塑料污染对</w:t>
      </w:r>
    </w:p>
    <w:p w14:paraId="57A706CE" w14:textId="77777777" w:rsidR="004F5AFF" w:rsidRDefault="00000000">
      <w:pPr>
        <w:spacing w:line="400" w:lineRule="atLeast"/>
        <w:ind w:left="880" w:hangingChars="200" w:hanging="880"/>
        <w:jc w:val="center"/>
        <w:rPr>
          <w:rFonts w:ascii="方正仿宋_GBK" w:eastAsia="方正仿宋_GBK" w:hAnsi="方正仿宋_GBK" w:cs="方正仿宋_GBK"/>
          <w:sz w:val="28"/>
          <w:szCs w:val="28"/>
          <w:shd w:val="clear" w:color="auto" w:fill="FFFFFF"/>
        </w:rPr>
      </w:pPr>
      <w:r>
        <w:rPr>
          <w:rFonts w:ascii="黑体" w:eastAsia="黑体" w:hAnsi="黑体" w:cs="黑体" w:hint="eastAsia"/>
          <w:sz w:val="44"/>
          <w:szCs w:val="44"/>
        </w:rPr>
        <w:t>土壤微生物多样性的短期影响</w:t>
      </w:r>
    </w:p>
    <w:p w14:paraId="3DBCF835" w14:textId="7AE42BEF" w:rsidR="004F5AFF" w:rsidRDefault="001F06B9">
      <w:pPr>
        <w:spacing w:line="400" w:lineRule="atLeast"/>
        <w:ind w:left="560" w:hangingChars="200" w:hanging="560"/>
        <w:jc w:val="center"/>
        <w:rPr>
          <w:rFonts w:ascii="方正仿宋_GBK" w:eastAsia="方正仿宋_GBK" w:hAnsi="方正仿宋_GBK" w:cs="方正仿宋_GBK"/>
          <w:sz w:val="28"/>
          <w:szCs w:val="28"/>
          <w:shd w:val="clear" w:color="auto" w:fill="FFFFFF"/>
        </w:rPr>
      </w:pPr>
      <w:r>
        <w:rPr>
          <w:rFonts w:ascii="方正仿宋_GBK" w:eastAsia="方正仿宋_GBK" w:hAnsi="方正仿宋_GBK" w:cs="方正仿宋_GBK" w:hint="eastAsia"/>
          <w:sz w:val="28"/>
          <w:szCs w:val="28"/>
          <w:shd w:val="clear" w:color="auto" w:fill="FFFFFF"/>
        </w:rPr>
        <w:t>王丽</w:t>
      </w:r>
    </w:p>
    <w:p w14:paraId="158AEE43" w14:textId="29F486D0" w:rsidR="004F5AFF" w:rsidRDefault="001F06B9">
      <w:pPr>
        <w:spacing w:line="400" w:lineRule="atLeast"/>
        <w:ind w:left="360" w:hangingChars="200" w:hanging="360"/>
        <w:jc w:val="center"/>
        <w:rPr>
          <w:rFonts w:ascii="Songti SC Bold" w:eastAsia="Songti SC Bold" w:hAnsi="Songti SC Bold" w:cs="Songti SC Bold"/>
          <w:sz w:val="18"/>
          <w:szCs w:val="18"/>
        </w:rPr>
      </w:pPr>
      <w:r>
        <w:rPr>
          <w:rFonts w:ascii="Songti SC Bold" w:eastAsia="Songti SC Bold" w:hAnsi="Songti SC Bold" w:cs="Songti SC Bold" w:hint="eastAsia"/>
          <w:sz w:val="18"/>
          <w:szCs w:val="18"/>
        </w:rPr>
        <w:t>上海科技大学</w:t>
      </w:r>
    </w:p>
    <w:p w14:paraId="0DE32E20" w14:textId="41E63030" w:rsidR="004F5AFF" w:rsidRDefault="00000000">
      <w:pPr>
        <w:spacing w:line="400" w:lineRule="atLeast"/>
        <w:ind w:left="360" w:hangingChars="200" w:hanging="360"/>
        <w:jc w:val="center"/>
        <w:rPr>
          <w:rFonts w:ascii="Songti SC Bold" w:eastAsia="Songti SC Bold" w:hAnsi="Songti SC Bold" w:cs="Songti SC Bold" w:hint="eastAsia"/>
          <w:sz w:val="18"/>
          <w:szCs w:val="18"/>
        </w:rPr>
      </w:pPr>
      <w:r>
        <w:rPr>
          <w:rFonts w:ascii="Songti SC Bold" w:eastAsia="Songti SC Bold" w:hAnsi="Songti SC Bold" w:cs="Songti SC Bold" w:hint="eastAsia"/>
          <w:sz w:val="18"/>
          <w:szCs w:val="18"/>
        </w:rPr>
        <w:t xml:space="preserve">通讯作者*: </w:t>
      </w:r>
      <w:r w:rsidR="001F06B9">
        <w:rPr>
          <w:rFonts w:ascii="Songti SC Bold" w:eastAsia="Songti SC Bold" w:hAnsi="Songti SC Bold" w:cs="Songti SC Bold" w:hint="eastAsia"/>
          <w:sz w:val="18"/>
          <w:szCs w:val="18"/>
        </w:rPr>
        <w:t>王丽</w:t>
      </w:r>
      <w:r>
        <w:rPr>
          <w:rFonts w:ascii="Songti SC Bold" w:eastAsia="Songti SC Bold" w:hAnsi="Songti SC Bold" w:cs="Songti SC Bold" w:hint="eastAsia"/>
          <w:sz w:val="18"/>
          <w:szCs w:val="18"/>
        </w:rPr>
        <w:t xml:space="preserve">   E-mail：</w:t>
      </w:r>
      <w:r w:rsidR="001F06B9">
        <w:rPr>
          <w:rFonts w:ascii="Songti SC Bold" w:eastAsia="Songti SC Bold" w:hAnsi="Songti SC Bold" w:cs="Songti SC Bold" w:hint="eastAsia"/>
          <w:sz w:val="18"/>
          <w:szCs w:val="18"/>
        </w:rPr>
        <w:t>7348458484@qq.com</w:t>
      </w:r>
    </w:p>
    <w:p w14:paraId="5F6D346D" w14:textId="77777777" w:rsidR="004F5AFF" w:rsidRDefault="004F5AFF">
      <w:pPr>
        <w:spacing w:line="400" w:lineRule="atLeast"/>
        <w:ind w:left="360" w:hangingChars="200" w:hanging="360"/>
        <w:jc w:val="center"/>
        <w:rPr>
          <w:rFonts w:ascii="Songti SC Bold" w:eastAsia="Songti SC Bold" w:hAnsi="Songti SC Bold" w:cs="Songti SC Bold"/>
          <w:sz w:val="18"/>
          <w:szCs w:val="18"/>
        </w:rPr>
      </w:pPr>
    </w:p>
    <w:tbl>
      <w:tblPr>
        <w:tblStyle w:val="a6"/>
        <w:tblW w:w="4977" w:type="pct"/>
        <w:tblLook w:val="04A0" w:firstRow="1" w:lastRow="0" w:firstColumn="1" w:lastColumn="0" w:noHBand="0" w:noVBand="1"/>
      </w:tblPr>
      <w:tblGrid>
        <w:gridCol w:w="3228"/>
        <w:gridCol w:w="6378"/>
      </w:tblGrid>
      <w:tr w:rsidR="004F5AFF" w14:paraId="638AC348" w14:textId="77777777">
        <w:trPr>
          <w:trHeight w:val="385"/>
        </w:trPr>
        <w:tc>
          <w:tcPr>
            <w:tcW w:w="1680" w:type="pct"/>
            <w:tcBorders>
              <w:left w:val="nil"/>
              <w:bottom w:val="single" w:sz="4" w:space="0" w:color="auto"/>
              <w:right w:val="nil"/>
            </w:tcBorders>
            <w:vAlign w:val="center"/>
          </w:tcPr>
          <w:p w14:paraId="7B811947" w14:textId="77777777" w:rsidR="004F5AFF" w:rsidRDefault="00000000">
            <w:pPr>
              <w:pStyle w:val="a4"/>
              <w:pBdr>
                <w:top w:val="none" w:sz="0" w:space="0" w:color="auto"/>
                <w:left w:val="none" w:sz="0" w:space="0" w:color="auto"/>
                <w:bottom w:val="none" w:sz="0" w:space="0" w:color="auto"/>
                <w:right w:val="none" w:sz="0" w:space="0" w:color="auto"/>
              </w:pBdr>
              <w:jc w:val="left"/>
              <w:rPr>
                <w:rFonts w:eastAsia="微软雅黑" w:cs="Times New Roman"/>
                <w:b/>
                <w:bCs/>
                <w:sz w:val="20"/>
                <w:szCs w:val="20"/>
              </w:rPr>
            </w:pPr>
            <w:r>
              <w:rPr>
                <w:rFonts w:eastAsia="微软雅黑" w:cs="Times New Roman" w:hint="eastAsia"/>
                <w:b/>
                <w:bCs/>
                <w:sz w:val="20"/>
                <w:szCs w:val="20"/>
              </w:rPr>
              <w:t>论文信息</w:t>
            </w:r>
          </w:p>
        </w:tc>
        <w:tc>
          <w:tcPr>
            <w:tcW w:w="3319" w:type="pct"/>
            <w:tcBorders>
              <w:left w:val="nil"/>
              <w:bottom w:val="nil"/>
              <w:right w:val="nil"/>
            </w:tcBorders>
            <w:vAlign w:val="center"/>
          </w:tcPr>
          <w:p w14:paraId="22B3B746" w14:textId="77777777" w:rsidR="004F5AFF" w:rsidRDefault="00000000">
            <w:pPr>
              <w:pStyle w:val="a4"/>
              <w:rPr>
                <w:rFonts w:ascii="Times New Roman Bold" w:hAnsi="Times New Roman Bold" w:cs="Times New Roman Bold"/>
                <w:b/>
                <w:bCs/>
                <w:sz w:val="20"/>
                <w:szCs w:val="20"/>
              </w:rPr>
            </w:pPr>
            <w:r>
              <w:rPr>
                <w:rFonts w:ascii="Times New Roman Bold" w:hAnsi="Times New Roman Bold" w:cs="Times New Roman Bold" w:hint="eastAsia"/>
                <w:b/>
                <w:bCs/>
                <w:sz w:val="20"/>
                <w:szCs w:val="20"/>
              </w:rPr>
              <w:t>摘要</w:t>
            </w:r>
          </w:p>
        </w:tc>
      </w:tr>
      <w:tr w:rsidR="004F5AFF" w14:paraId="33699665" w14:textId="77777777">
        <w:trPr>
          <w:trHeight w:val="273"/>
        </w:trPr>
        <w:tc>
          <w:tcPr>
            <w:tcW w:w="1680" w:type="pct"/>
            <w:tcBorders>
              <w:top w:val="single" w:sz="4" w:space="0" w:color="auto"/>
              <w:left w:val="nil"/>
              <w:bottom w:val="nil"/>
              <w:right w:val="nil"/>
            </w:tcBorders>
            <w:vAlign w:val="center"/>
          </w:tcPr>
          <w:p w14:paraId="5D728C9A" w14:textId="77777777" w:rsidR="004F5AFF" w:rsidRDefault="00000000">
            <w:pPr>
              <w:pStyle w:val="a4"/>
              <w:rPr>
                <w:rFonts w:ascii="Times New Roman Bold" w:hAnsi="Times New Roman Bold" w:cs="Times New Roman Bold"/>
                <w:i/>
                <w:iCs/>
                <w:sz w:val="20"/>
                <w:szCs w:val="20"/>
              </w:rPr>
            </w:pPr>
            <w:r>
              <w:rPr>
                <w:rFonts w:ascii="Times New Roman Bold" w:hAnsi="Times New Roman Bold" w:cs="Times New Roman Bold" w:hint="eastAsia"/>
                <w:i/>
                <w:iCs/>
                <w:sz w:val="20"/>
                <w:szCs w:val="20"/>
              </w:rPr>
              <w:t>关键字</w:t>
            </w:r>
          </w:p>
        </w:tc>
        <w:tc>
          <w:tcPr>
            <w:tcW w:w="3319" w:type="pct"/>
            <w:vMerge w:val="restart"/>
            <w:tcBorders>
              <w:top w:val="nil"/>
              <w:left w:val="nil"/>
              <w:right w:val="nil"/>
            </w:tcBorders>
            <w:vAlign w:val="center"/>
          </w:tcPr>
          <w:p w14:paraId="0E88DBEC" w14:textId="77777777" w:rsidR="004F5AFF" w:rsidRDefault="00000000">
            <w:pPr>
              <w:spacing w:after="120"/>
              <w:jc w:val="left"/>
              <w:rPr>
                <w:rFonts w:ascii="楷体" w:eastAsia="楷体" w:hAnsi="楷体" w:cs="楷体"/>
                <w:szCs w:val="18"/>
              </w:rPr>
            </w:pPr>
            <w:r>
              <w:rPr>
                <w:rFonts w:ascii="楷体" w:eastAsia="楷体" w:hAnsi="楷体" w:cs="楷体" w:hint="eastAsia"/>
                <w:szCs w:val="18"/>
              </w:rPr>
              <w:t>微塑料作为一类新兴环境污染物，在全球土壤生态系统中日益积累，已成为威胁土壤健康和生态安全的重要风险因子。城市绿地作为城市生态系统的重要组成部分，承担着净化环境、调节微气候、维持生物多样性等关键生态功能，同时也是各类人为活动释放的微塑料的重要“汇”。然而，当前关于城市绿地土壤微塑料污染对微生物群落影响的短期效应研究仍较为匮乏。本研究通过为期30天的温室微宇宙培养实验，设置对照组（无微塑料添加）、低浓度处理组（0.5% w/w聚乙烯微塑料）和高浓度处理组（2% w/w聚乙烯微塑料），利用16S rRNA高通量测序技术，系统探究了聚乙烯微塑料短期暴露对城市绿地土壤细菌多样性和群落结构的影响。结果表明，微塑料处理对土壤基本理化性质（pH、有机质含量）未造成显著影响，但显著改变了土壤细菌群落的α多样性和β多样性。与对照组相比，高浓度处理组的Shannon指数显著降低（p&lt;0.05），Chao1指数亦呈现下降趋势。主坐标分析（</w:t>
            </w:r>
            <w:proofErr w:type="spellStart"/>
            <w:r>
              <w:rPr>
                <w:rFonts w:ascii="楷体" w:eastAsia="楷体" w:hAnsi="楷体" w:cs="楷体" w:hint="eastAsia"/>
                <w:szCs w:val="18"/>
              </w:rPr>
              <w:t>PCoA</w:t>
            </w:r>
            <w:proofErr w:type="spellEnd"/>
            <w:r>
              <w:rPr>
                <w:rFonts w:ascii="楷体" w:eastAsia="楷体" w:hAnsi="楷体" w:cs="楷体" w:hint="eastAsia"/>
                <w:szCs w:val="18"/>
              </w:rPr>
              <w:t>）显示，处理组与对照组的细菌群落结构明显分离，表明微塑料添加诱导了群落的定向演替。在门水平上，变形菌门（Proteobacteria）的相对丰度随微塑料浓度升高而显著上升，而酸杆菌门（</w:t>
            </w:r>
            <w:proofErr w:type="spellStart"/>
            <w:r>
              <w:rPr>
                <w:rFonts w:ascii="楷体" w:eastAsia="楷体" w:hAnsi="楷体" w:cs="楷体" w:hint="eastAsia"/>
                <w:szCs w:val="18"/>
              </w:rPr>
              <w:t>Acidobacteria</w:t>
            </w:r>
            <w:proofErr w:type="spellEnd"/>
            <w:r>
              <w:rPr>
                <w:rFonts w:ascii="楷体" w:eastAsia="楷体" w:hAnsi="楷体" w:cs="楷体" w:hint="eastAsia"/>
                <w:szCs w:val="18"/>
              </w:rPr>
              <w:t>）的相对丰度则相应下降；在属水平上，部分潜在降解菌（如芽孢杆菌属 Bacillus）的相对丰度有所增加。以上结果表明，即便在30天的短期暴露下，聚乙烯微塑料仍能对城市绿地土壤细菌群落产生显著扰动，改变群落多样性并重塑其结构组成。本研究为理解城市绿地土壤微塑料污染的早期生态效应提供了实验证据，并为城市土壤微塑料污染的环境风险评估与监测管理提供了科学参考。</w:t>
            </w:r>
          </w:p>
        </w:tc>
      </w:tr>
      <w:tr w:rsidR="004F5AFF" w14:paraId="40DC8218" w14:textId="77777777">
        <w:trPr>
          <w:trHeight w:val="763"/>
        </w:trPr>
        <w:tc>
          <w:tcPr>
            <w:tcW w:w="1680" w:type="pct"/>
            <w:tcBorders>
              <w:top w:val="nil"/>
              <w:left w:val="nil"/>
              <w:bottom w:val="nil"/>
              <w:right w:val="nil"/>
            </w:tcBorders>
            <w:vAlign w:val="center"/>
          </w:tcPr>
          <w:p w14:paraId="74BB7A3A" w14:textId="77777777" w:rsidR="004F5AFF" w:rsidRDefault="00000000">
            <w:pPr>
              <w:rPr>
                <w:rFonts w:ascii="Times New Roman Bold" w:hAnsi="Times New Roman Bold" w:cs="Times New Roman Bold"/>
                <w:sz w:val="20"/>
                <w:szCs w:val="20"/>
              </w:rPr>
            </w:pPr>
            <w:r>
              <w:rPr>
                <w:rFonts w:ascii="Times New Roman Bold" w:hAnsi="Times New Roman Bold" w:cs="Times New Roman Bold" w:hint="eastAsia"/>
                <w:sz w:val="20"/>
                <w:szCs w:val="20"/>
              </w:rPr>
              <w:t>微塑料；城市绿地；土壤微生物；细菌多样性；</w:t>
            </w:r>
            <w:r>
              <w:rPr>
                <w:rFonts w:ascii="Times New Roman Bold" w:hAnsi="Times New Roman Bold" w:cs="Times New Roman Bold" w:hint="eastAsia"/>
                <w:sz w:val="20"/>
                <w:szCs w:val="20"/>
              </w:rPr>
              <w:t>16S rRNA</w:t>
            </w:r>
            <w:r>
              <w:rPr>
                <w:rFonts w:ascii="Times New Roman Bold" w:hAnsi="Times New Roman Bold" w:cs="Times New Roman Bold" w:hint="eastAsia"/>
                <w:sz w:val="20"/>
                <w:szCs w:val="20"/>
              </w:rPr>
              <w:t>测序；聚乙烯；短期暴露</w:t>
            </w:r>
          </w:p>
        </w:tc>
        <w:tc>
          <w:tcPr>
            <w:tcW w:w="3319" w:type="pct"/>
            <w:vMerge/>
            <w:tcBorders>
              <w:top w:val="nil"/>
              <w:left w:val="nil"/>
              <w:right w:val="nil"/>
            </w:tcBorders>
            <w:vAlign w:val="center"/>
          </w:tcPr>
          <w:p w14:paraId="574D0598" w14:textId="77777777" w:rsidR="004F5AFF" w:rsidRDefault="004F5AFF">
            <w:pPr>
              <w:pStyle w:val="a4"/>
              <w:rPr>
                <w:rFonts w:cs="Times New Roman"/>
                <w:bCs/>
                <w:iCs/>
                <w:sz w:val="20"/>
                <w:szCs w:val="20"/>
              </w:rPr>
            </w:pPr>
          </w:p>
        </w:tc>
      </w:tr>
      <w:tr w:rsidR="004F5AFF" w14:paraId="4BBF3949" w14:textId="77777777">
        <w:trPr>
          <w:trHeight w:val="246"/>
        </w:trPr>
        <w:tc>
          <w:tcPr>
            <w:tcW w:w="1680" w:type="pct"/>
            <w:tcBorders>
              <w:top w:val="nil"/>
              <w:left w:val="nil"/>
              <w:bottom w:val="nil"/>
              <w:right w:val="nil"/>
            </w:tcBorders>
            <w:vAlign w:val="center"/>
          </w:tcPr>
          <w:p w14:paraId="66779F71" w14:textId="77777777" w:rsidR="004F5AFF" w:rsidRDefault="004F5AFF">
            <w:pPr>
              <w:pStyle w:val="a4"/>
              <w:rPr>
                <w:rFonts w:ascii="Times New Roman Bold" w:hAnsi="Times New Roman Bold" w:cs="Times New Roman Bold"/>
                <w:sz w:val="20"/>
                <w:szCs w:val="20"/>
              </w:rPr>
            </w:pPr>
          </w:p>
        </w:tc>
        <w:tc>
          <w:tcPr>
            <w:tcW w:w="3319" w:type="pct"/>
            <w:vMerge/>
            <w:tcBorders>
              <w:top w:val="nil"/>
              <w:left w:val="nil"/>
              <w:right w:val="nil"/>
            </w:tcBorders>
            <w:vAlign w:val="center"/>
          </w:tcPr>
          <w:p w14:paraId="162CB242" w14:textId="77777777" w:rsidR="004F5AFF" w:rsidRDefault="004F5AFF">
            <w:pPr>
              <w:pStyle w:val="a4"/>
              <w:rPr>
                <w:rFonts w:ascii="Times New Roman Bold" w:hAnsi="Times New Roman Bold" w:cs="Times New Roman Bold"/>
                <w:b/>
                <w:bCs/>
                <w:sz w:val="20"/>
                <w:szCs w:val="20"/>
              </w:rPr>
            </w:pPr>
          </w:p>
        </w:tc>
      </w:tr>
      <w:tr w:rsidR="004F5AFF" w14:paraId="3729FCC4" w14:textId="77777777">
        <w:trPr>
          <w:trHeight w:val="246"/>
        </w:trPr>
        <w:tc>
          <w:tcPr>
            <w:tcW w:w="1680" w:type="pct"/>
            <w:tcBorders>
              <w:top w:val="nil"/>
              <w:left w:val="nil"/>
              <w:bottom w:val="nil"/>
              <w:right w:val="nil"/>
            </w:tcBorders>
            <w:vAlign w:val="center"/>
          </w:tcPr>
          <w:p w14:paraId="02057EEA" w14:textId="77777777" w:rsidR="004F5AFF" w:rsidRDefault="004F5AFF">
            <w:pPr>
              <w:pStyle w:val="a4"/>
              <w:rPr>
                <w:rFonts w:ascii="Times New Roman Bold" w:hAnsi="Times New Roman Bold" w:cs="Times New Roman Bold"/>
                <w:sz w:val="20"/>
                <w:szCs w:val="20"/>
              </w:rPr>
            </w:pPr>
          </w:p>
        </w:tc>
        <w:tc>
          <w:tcPr>
            <w:tcW w:w="3319" w:type="pct"/>
            <w:vMerge/>
            <w:tcBorders>
              <w:top w:val="nil"/>
              <w:left w:val="nil"/>
              <w:right w:val="nil"/>
            </w:tcBorders>
            <w:vAlign w:val="center"/>
          </w:tcPr>
          <w:p w14:paraId="27E27EDF" w14:textId="77777777" w:rsidR="004F5AFF" w:rsidRDefault="004F5AFF">
            <w:pPr>
              <w:pStyle w:val="a4"/>
              <w:rPr>
                <w:rFonts w:ascii="Times New Roman Bold" w:hAnsi="Times New Roman Bold" w:cs="Times New Roman Bold"/>
                <w:b/>
                <w:bCs/>
                <w:sz w:val="20"/>
                <w:szCs w:val="20"/>
              </w:rPr>
            </w:pPr>
          </w:p>
        </w:tc>
      </w:tr>
      <w:tr w:rsidR="004F5AFF" w14:paraId="3E8DD82C" w14:textId="77777777">
        <w:trPr>
          <w:trHeight w:val="320"/>
        </w:trPr>
        <w:tc>
          <w:tcPr>
            <w:tcW w:w="1680" w:type="pct"/>
            <w:tcBorders>
              <w:top w:val="nil"/>
              <w:left w:val="nil"/>
              <w:bottom w:val="nil"/>
              <w:right w:val="nil"/>
            </w:tcBorders>
            <w:vAlign w:val="center"/>
          </w:tcPr>
          <w:p w14:paraId="60D2CE2F" w14:textId="77777777" w:rsidR="004F5AFF" w:rsidRDefault="004F5AFF">
            <w:pPr>
              <w:pStyle w:val="a4"/>
              <w:rPr>
                <w:rFonts w:ascii="Times New Roman Bold" w:hAnsi="Times New Roman Bold" w:cs="Times New Roman Bold"/>
                <w:sz w:val="20"/>
                <w:szCs w:val="20"/>
              </w:rPr>
            </w:pPr>
          </w:p>
        </w:tc>
        <w:tc>
          <w:tcPr>
            <w:tcW w:w="3319" w:type="pct"/>
            <w:vMerge/>
            <w:tcBorders>
              <w:top w:val="nil"/>
              <w:left w:val="nil"/>
              <w:right w:val="nil"/>
            </w:tcBorders>
            <w:vAlign w:val="center"/>
          </w:tcPr>
          <w:p w14:paraId="123CB8E5" w14:textId="77777777" w:rsidR="004F5AFF" w:rsidRDefault="004F5AFF">
            <w:pPr>
              <w:pStyle w:val="a4"/>
              <w:rPr>
                <w:rFonts w:ascii="Times New Roman Bold" w:hAnsi="Times New Roman Bold" w:cs="Times New Roman Bold"/>
                <w:b/>
                <w:bCs/>
                <w:sz w:val="20"/>
                <w:szCs w:val="20"/>
              </w:rPr>
            </w:pPr>
          </w:p>
        </w:tc>
      </w:tr>
      <w:tr w:rsidR="004F5AFF" w14:paraId="026656C7" w14:textId="77777777">
        <w:trPr>
          <w:trHeight w:val="200"/>
        </w:trPr>
        <w:tc>
          <w:tcPr>
            <w:tcW w:w="1680" w:type="pct"/>
            <w:tcBorders>
              <w:top w:val="nil"/>
              <w:left w:val="nil"/>
              <w:bottom w:val="nil"/>
              <w:right w:val="nil"/>
            </w:tcBorders>
            <w:vAlign w:val="center"/>
          </w:tcPr>
          <w:p w14:paraId="62AAE58D" w14:textId="77777777" w:rsidR="004F5AFF" w:rsidRDefault="004F5AFF">
            <w:pPr>
              <w:pStyle w:val="a4"/>
              <w:rPr>
                <w:rFonts w:ascii="Times New Roman Bold" w:hAnsi="Times New Roman Bold" w:cs="Times New Roman Bold"/>
                <w:sz w:val="20"/>
                <w:szCs w:val="20"/>
              </w:rPr>
            </w:pPr>
          </w:p>
        </w:tc>
        <w:tc>
          <w:tcPr>
            <w:tcW w:w="3319" w:type="pct"/>
            <w:vMerge/>
            <w:tcBorders>
              <w:top w:val="nil"/>
              <w:left w:val="nil"/>
              <w:right w:val="nil"/>
            </w:tcBorders>
            <w:vAlign w:val="center"/>
          </w:tcPr>
          <w:p w14:paraId="51353CB2" w14:textId="77777777" w:rsidR="004F5AFF" w:rsidRDefault="004F5AFF">
            <w:pPr>
              <w:pStyle w:val="a4"/>
              <w:rPr>
                <w:rFonts w:ascii="Times New Roman Bold" w:hAnsi="Times New Roman Bold" w:cs="Times New Roman Bold"/>
                <w:b/>
                <w:bCs/>
                <w:sz w:val="20"/>
                <w:szCs w:val="20"/>
              </w:rPr>
            </w:pPr>
          </w:p>
        </w:tc>
      </w:tr>
      <w:tr w:rsidR="004F5AFF" w14:paraId="1AF292AF" w14:textId="77777777">
        <w:trPr>
          <w:trHeight w:val="200"/>
        </w:trPr>
        <w:tc>
          <w:tcPr>
            <w:tcW w:w="1680" w:type="pct"/>
            <w:tcBorders>
              <w:top w:val="nil"/>
              <w:left w:val="nil"/>
              <w:bottom w:val="nil"/>
              <w:right w:val="nil"/>
            </w:tcBorders>
            <w:vAlign w:val="center"/>
          </w:tcPr>
          <w:p w14:paraId="2B1BC92A" w14:textId="77777777" w:rsidR="004F5AFF" w:rsidRDefault="004F5AFF">
            <w:pPr>
              <w:pStyle w:val="a4"/>
              <w:rPr>
                <w:rFonts w:ascii="Times New Roman Bold" w:hAnsi="Times New Roman Bold" w:cs="Times New Roman Bold"/>
                <w:sz w:val="20"/>
                <w:szCs w:val="20"/>
              </w:rPr>
            </w:pPr>
          </w:p>
        </w:tc>
        <w:tc>
          <w:tcPr>
            <w:tcW w:w="3319" w:type="pct"/>
            <w:vMerge/>
            <w:tcBorders>
              <w:top w:val="nil"/>
              <w:left w:val="nil"/>
              <w:right w:val="nil"/>
            </w:tcBorders>
            <w:vAlign w:val="center"/>
          </w:tcPr>
          <w:p w14:paraId="640124ED" w14:textId="77777777" w:rsidR="004F5AFF" w:rsidRDefault="004F5AFF">
            <w:pPr>
              <w:pStyle w:val="a4"/>
              <w:rPr>
                <w:rFonts w:ascii="Times New Roman Bold" w:hAnsi="Times New Roman Bold" w:cs="Times New Roman Bold"/>
                <w:b/>
                <w:bCs/>
                <w:sz w:val="20"/>
                <w:szCs w:val="20"/>
              </w:rPr>
            </w:pPr>
          </w:p>
        </w:tc>
      </w:tr>
      <w:tr w:rsidR="004F5AFF" w14:paraId="1001DDE6" w14:textId="77777777">
        <w:trPr>
          <w:trHeight w:val="200"/>
        </w:trPr>
        <w:tc>
          <w:tcPr>
            <w:tcW w:w="1680" w:type="pct"/>
            <w:tcBorders>
              <w:top w:val="nil"/>
              <w:left w:val="nil"/>
              <w:bottom w:val="single" w:sz="4" w:space="0" w:color="auto"/>
              <w:right w:val="nil"/>
            </w:tcBorders>
          </w:tcPr>
          <w:p w14:paraId="66F1FD58" w14:textId="77777777" w:rsidR="004F5AFF" w:rsidRDefault="004F5AFF">
            <w:pPr>
              <w:pStyle w:val="a4"/>
              <w:rPr>
                <w:rFonts w:ascii="Times New Roman Bold" w:hAnsi="Times New Roman Bold" w:cs="Times New Roman Bold"/>
                <w:sz w:val="20"/>
                <w:szCs w:val="20"/>
              </w:rPr>
            </w:pPr>
          </w:p>
        </w:tc>
        <w:tc>
          <w:tcPr>
            <w:tcW w:w="3319" w:type="pct"/>
            <w:vMerge/>
            <w:tcBorders>
              <w:top w:val="nil"/>
              <w:left w:val="nil"/>
              <w:right w:val="nil"/>
            </w:tcBorders>
            <w:vAlign w:val="center"/>
          </w:tcPr>
          <w:p w14:paraId="6C90F487" w14:textId="77777777" w:rsidR="004F5AFF" w:rsidRDefault="004F5AFF">
            <w:pPr>
              <w:pStyle w:val="a4"/>
              <w:rPr>
                <w:rFonts w:ascii="Times New Roman Bold" w:hAnsi="Times New Roman Bold" w:cs="Times New Roman Bold"/>
                <w:b/>
                <w:bCs/>
                <w:sz w:val="20"/>
                <w:szCs w:val="20"/>
              </w:rPr>
            </w:pPr>
          </w:p>
        </w:tc>
      </w:tr>
    </w:tbl>
    <w:p w14:paraId="32AA87F6" w14:textId="77777777" w:rsidR="004F5AFF" w:rsidRDefault="004F5AFF">
      <w:pPr>
        <w:spacing w:after="240" w:line="360" w:lineRule="auto"/>
        <w:ind w:firstLineChars="200" w:firstLine="480"/>
        <w:rPr>
          <w:rFonts w:ascii="Songti SC Regular" w:eastAsia="Songti SC Regular" w:hAnsi="Songti SC Regular" w:cs="Songti SC Regular"/>
          <w:sz w:val="24"/>
        </w:rPr>
      </w:pPr>
    </w:p>
    <w:p w14:paraId="532EC62D" w14:textId="77777777" w:rsidR="004F5AFF" w:rsidRDefault="00000000">
      <w:pPr>
        <w:pStyle w:val="1"/>
        <w:spacing w:before="0" w:after="240" w:line="360" w:lineRule="auto"/>
        <w:jc w:val="center"/>
        <w:rPr>
          <w:rFonts w:ascii="Heiti SC Medium" w:eastAsia="Heiti SC Medium" w:hAnsi="Heiti SC Medium" w:cs="Heiti SC Medium"/>
          <w:b/>
          <w:bCs/>
          <w:kern w:val="2"/>
          <w:sz w:val="36"/>
          <w:szCs w:val="36"/>
        </w:rPr>
      </w:pPr>
      <w:r>
        <w:rPr>
          <w:rFonts w:ascii="Heiti SC Medium" w:eastAsia="Heiti SC Medium" w:hAnsi="Heiti SC Medium" w:cs="Heiti SC Medium" w:hint="eastAsia"/>
          <w:b/>
          <w:bCs/>
          <w:kern w:val="2"/>
          <w:sz w:val="36"/>
          <w:szCs w:val="36"/>
        </w:rPr>
        <w:lastRenderedPageBreak/>
        <w:t xml:space="preserve"> 1 引言</w:t>
      </w:r>
    </w:p>
    <w:p w14:paraId="44759612" w14:textId="77777777" w:rsidR="004F5AFF" w:rsidRDefault="00000000">
      <w:pPr>
        <w:widowControl/>
        <w:kinsoku w:val="0"/>
        <w:autoSpaceDE w:val="0"/>
        <w:autoSpaceDN w:val="0"/>
        <w:adjustRightInd w:val="0"/>
        <w:snapToGrid w:val="0"/>
        <w:spacing w:after="240"/>
        <w:jc w:val="left"/>
        <w:textAlignment w:val="baseline"/>
        <w:outlineLvl w:val="2"/>
        <w:rPr>
          <w:rFonts w:ascii="Songti SC Regular" w:eastAsia="Songti SC Regular" w:hAnsi="Songti SC Regular" w:cs="Songti SC Regular"/>
          <w:sz w:val="24"/>
        </w:rPr>
      </w:pPr>
      <w:r>
        <w:rPr>
          <w:rFonts w:ascii="Songti SC Regular" w:eastAsia="Songti SC Regular" w:hAnsi="Songti SC Regular" w:cs="Songti SC Regular" w:hint="eastAsia"/>
          <w:sz w:val="24"/>
        </w:rPr>
        <w:t xml:space="preserve"> 1.1 微塑料污染现状与环境风险</w:t>
      </w:r>
    </w:p>
    <w:p w14:paraId="6E0B15B1" w14:textId="77777777" w:rsidR="004F5AFF"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塑料自20世纪50年代大规模生产以来，凭借其优异的物理化学性能和低廉的生产成本，已成为现代社会不可或缺的基础材料。然而，全球塑料产量的持续增长（年均增长率约8.7%）伴随而来的是日益严重的塑料废弃物污染问题。进入环境的塑料在太阳辐射、机械磨损、风化和人为活动等作用下逐渐破碎分解，形成粒径小于5 mm的微小塑料颗粒，即微塑料（Microplastics, MPs）。微塑料具有粒径小、化学稳定性高、难以自然降解、分布广泛等特点，已在水生、陆地和大气等各类生态系统中被广泛检出。</w:t>
      </w:r>
    </w:p>
    <w:p w14:paraId="3A4C0962" w14:textId="77777777" w:rsidR="004F5AFF"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值得注意的是，陆地生态系统中的微塑料含量据估算可达水生生态系统的4至23倍，土壤已被公认为微塑料的重要储库和热点区域。然而，全球仅有约5%的微塑料研究聚焦于土壤生态系统，土壤微塑料的赋存特征、环境行为及生态效应的研究仍严重滞后。微塑料进入土壤后，可能改变土壤的物理结构、化学性质和微生物代谢过程，进而影响土壤肥力和生态功能，甚至通过食物链传递对人类健康构成潜在威胁。</w:t>
      </w:r>
    </w:p>
    <w:p w14:paraId="1210C59A" w14:textId="77777777" w:rsidR="004F5AFF"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1.2 城市绿地作为微塑料“汇”的重要性</w:t>
      </w:r>
    </w:p>
    <w:p w14:paraId="287965FC" w14:textId="77777777" w:rsidR="004F5AFF"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城市绿地（包括公园、街边绿地、居住区绿地等）是城市生态系统的重要组成部分，在净化环境、调节微气候、保护生物多样性和为居民提供休闲空间等方面发挥着不可替代的生态服务功能。然而，快速城市化进程加剧了环境压力，导致各类污染物在城市土壤中不断累积。城市绿地土壤作为受人类活动直接影响的环境介质，是微塑料进入城市生态系统的重要“汇”。</w:t>
      </w:r>
    </w:p>
    <w:p w14:paraId="544A417F" w14:textId="77777777" w:rsidR="004F5AFF"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已有研究表明，中国城市土壤中普遍存在微塑料污染。对广州市城市绿地土壤的调查显示，微塑料丰度范围为200—7700个/kg，平均为2117±1914个/kg，街边绿地和居住区绿地的微塑料负荷约为公园的2倍以上，不同功能区和植被类型之间呈现显著的异质性分</w:t>
      </w:r>
      <w:r>
        <w:rPr>
          <w:rFonts w:ascii="Songti SC Regular" w:eastAsia="Songti SC Regular" w:hAnsi="Songti SC Regular" w:cs="Songti SC Regular" w:hint="eastAsia"/>
          <w:sz w:val="24"/>
        </w:rPr>
        <w:lastRenderedPageBreak/>
        <w:t>布。对杭州市不同功能区的土壤调查也发现，公共绿地作为高毒性聚合物的汇，其微塑料污染风险不容忽视。这些研究证实了城市绿地土壤中微塑料污染的普遍性和严重性，凸显了开展城市绿地微塑料生态效应研究的紧迫性。</w:t>
      </w:r>
    </w:p>
    <w:p w14:paraId="3FBF93E2" w14:textId="77777777" w:rsidR="004F5AFF"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1.3 土壤微生物对生态功能的指示作用</w:t>
      </w:r>
    </w:p>
    <w:p w14:paraId="33990A69" w14:textId="77777777" w:rsidR="004F5AFF"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土壤微生物是土壤生态系统中最为活跃和多样的生物组分，在有机质分解、养分循环、污染物降解和维持土壤结构等方面发挥着关键作用。微生物群落的结构和功能变化能够敏感地反映土壤环境质量的演变，是评估土壤生态系统健康状况的重要指示指标。近年来的研究表明，微塑料污染会对土壤微生物群落产生显著影响。有研究发现，微塑料添加显著改变了细菌和真菌群落的组成和多样性，导致部分微生物类群富集而另一些类群受到抑制。聚乙烯微塑料处理被发现可促进土壤CO₂排放，改变微生物群落结构，并使部分耐降解微生物的平均丰度显著高于对照处理。</w:t>
      </w:r>
    </w:p>
    <w:p w14:paraId="113138A9" w14:textId="77777777" w:rsidR="004F5AFF"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与此同时，微塑料表面会形成独特的微生物定殖群落——“塑料际”（plastisphere）。邓文博等的研究揭示，塑料际中的微生物群落网络比土壤本体的网络表现出更低的复杂性和稳定性，以及更低的功能多样性；细菌群落在塑料际网络形成和微塑料降解中的作用大于真菌群落。这些发现表明，微塑料与土壤微生物之间存在着复杂的相互作用关系，亟需深入研究。</w:t>
      </w:r>
    </w:p>
    <w:p w14:paraId="28576F0E" w14:textId="77777777" w:rsidR="004F5AFF"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1.4 研究空白与本研究目的</w:t>
      </w:r>
    </w:p>
    <w:p w14:paraId="3D4C46C0" w14:textId="77777777" w:rsidR="004F5AFF"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尽管已有较多研究关注微塑料对土壤微生物群落的影响，但现有工作多聚焦于长期暴露（数月甚至数年）或高浓度极端条件下的效应，而关于短期暴露的生态效应研究仍十分有限。短期暴露实验对于揭示微塑料污染的早期响应机制、评估低浓度污染物的生态风险具有重要意义，同时也能为制定及时的预警和管控措施提供科学依据。此外，现有研究大多以农田土壤为研究对象，针对城市绿地土壤这一特殊环境介质的研究相对缺乏。城市绿</w:t>
      </w:r>
      <w:r>
        <w:rPr>
          <w:rFonts w:ascii="Songti SC Regular" w:eastAsia="Songti SC Regular" w:hAnsi="Songti SC Regular" w:cs="Songti SC Regular" w:hint="eastAsia"/>
          <w:sz w:val="24"/>
        </w:rPr>
        <w:lastRenderedPageBreak/>
        <w:t>地土壤往往面临更为复杂的人为干扰、更高的微塑料输入通量以及更特殊的土地利用方式，其微生物群落对微塑料暴露的响应机制可能与农田土壤存在差异。</w:t>
      </w:r>
    </w:p>
    <w:p w14:paraId="32430559" w14:textId="77777777" w:rsidR="004F5AFF"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基于以上研究背景，本研究以典型城市绿地表层土壤为对象，设置不同浓度聚乙烯（PE）微塑料处理，通过为期30天的温室微宇宙培养实验，利用16S rRNA高通量测序技术，系统探究以下科学问题：（1）短期微塑料暴露是否显著改变城市绿地土壤细菌的α多样性和β多样性？（2）不同浓度的微塑料是否对细菌群落结构产生梯度影响？（3）微塑料暴露诱导了哪些关键细菌类群的响应？研究结果将为理解城市绿地微塑料污染的早期生态效应提供实验证据，并为城市土壤微塑料污染的环境风险评估与管理提供科学参考。</w:t>
      </w:r>
    </w:p>
    <w:p w14:paraId="5030F9C1" w14:textId="77777777" w:rsidR="004F5AFF" w:rsidRDefault="00000000">
      <w:pPr>
        <w:pStyle w:val="1"/>
        <w:spacing w:before="0" w:after="240" w:line="360" w:lineRule="auto"/>
        <w:jc w:val="center"/>
        <w:rPr>
          <w:rFonts w:ascii="Heiti SC Medium" w:eastAsia="Heiti SC Medium" w:hAnsi="Heiti SC Medium" w:cs="Heiti SC Medium"/>
          <w:b/>
          <w:bCs/>
          <w:kern w:val="2"/>
          <w:sz w:val="36"/>
          <w:szCs w:val="36"/>
        </w:rPr>
      </w:pPr>
      <w:r>
        <w:rPr>
          <w:rFonts w:ascii="Heiti SC Medium" w:eastAsia="Heiti SC Medium" w:hAnsi="Heiti SC Medium" w:cs="Heiti SC Medium" w:hint="eastAsia"/>
          <w:b/>
          <w:bCs/>
          <w:kern w:val="2"/>
          <w:sz w:val="36"/>
          <w:szCs w:val="36"/>
        </w:rPr>
        <w:t xml:space="preserve"> 2 材料与方法</w:t>
      </w:r>
    </w:p>
    <w:p w14:paraId="01EA3377" w14:textId="77777777" w:rsidR="004F5AFF"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2.1 供试土壤与采样</w:t>
      </w:r>
    </w:p>
    <w:p w14:paraId="10C50140" w14:textId="77777777" w:rsidR="004F5AFF"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供试土壤采集于某城市公园绿地，选取未受明显人为干扰且植被覆盖均匀的区域作为采样点。采样前清除地表凋落物及可见杂物，使用不锈钢土钻采集0—20 cm表层土壤，采用五点取样法混合成一个代表样品，装入无菌聚乙烯密封袋中。土样带回实验室后，剔除植物残体和砾石，过2 mm筛，一部分置于4℃冰箱保存用于理化性质分析和微宇宙培养实验，另一部分经自然风干后研磨过筛用于基本理化性质测定。</w:t>
      </w:r>
    </w:p>
    <w:p w14:paraId="70CD9D63" w14:textId="77777777" w:rsidR="004F5AFF"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2.2 微塑料制备</w:t>
      </w:r>
    </w:p>
    <w:p w14:paraId="1B1BC518" w14:textId="77777777" w:rsidR="004F5AFF"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本研究所用微塑料为聚乙烯（PE）颗粒，粒径范围为100—200 μm，购自某塑料原料公司。使用前将PE微塑料颗粒依次用无水乙醇和去离子水反复清洗3次，以去除表面可能吸附的有机污染物，然后在50℃烘箱中干燥至恒重，密封保存备用。</w:t>
      </w:r>
    </w:p>
    <w:p w14:paraId="1364F360" w14:textId="77777777" w:rsidR="004F5AFF"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2.3 实验设计</w:t>
      </w:r>
    </w:p>
    <w:p w14:paraId="22D9728F" w14:textId="77777777" w:rsidR="004F5AFF"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实验设置3个处理组：对照组（CK，不添加微塑料）、低浓度处理组（L-MP，添加</w:t>
      </w:r>
      <w:r>
        <w:rPr>
          <w:rFonts w:ascii="Songti SC Regular" w:eastAsia="Songti SC Regular" w:hAnsi="Songti SC Regular" w:cs="Songti SC Regular" w:hint="eastAsia"/>
          <w:sz w:val="24"/>
        </w:rPr>
        <w:lastRenderedPageBreak/>
        <w:t>0.5% w/w PE微塑料）和高浓度处理组（H-MP，添加2% w/w PE微塑料）。每个处理设置5次重复，共计15个微宇宙培养单元。</w:t>
      </w:r>
    </w:p>
    <w:p w14:paraId="0B0C92C6" w14:textId="77777777" w:rsidR="004F5AFF"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具体操作步骤为：称取相当于200 g干土的鲜土（根据土壤含水量换算）置于500 mL玻璃烧杯中，按处理设计加入相应量的PE微塑料颗粒，充分混匀后调节土壤含水量至田间持水量的60%。烧杯口覆盖带透气孔的保鲜膜，以减少水分蒸发并保证气体交换。将所有培养单元置于25±1℃的恒温培养箱中暗培养30天，培养期间每3天通过称重法补充去离子水以维持恒定含水量。</w:t>
      </w:r>
    </w:p>
    <w:p w14:paraId="7C675998" w14:textId="77777777" w:rsidR="004F5AFF"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2.4 土壤理化性质测定</w:t>
      </w:r>
    </w:p>
    <w:p w14:paraId="23E507BE" w14:textId="77777777" w:rsidR="004F5AFF"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培养结束后，采集各处理的新鲜土样用于理化性质分析。土壤pH采用电极法（水土比2.5:1）测定；土壤有机质含量采用重铬酸钾氧化-外加热法测定；土壤铵态氮和硝态氮采用2 mol/L KCl浸提-流动分析仪法测定；土壤有效磷采用</w:t>
      </w:r>
      <w:proofErr w:type="spellStart"/>
      <w:r>
        <w:rPr>
          <w:rFonts w:ascii="Songti SC Regular" w:eastAsia="Songti SC Regular" w:hAnsi="Songti SC Regular" w:cs="Songti SC Regular" w:hint="eastAsia"/>
          <w:sz w:val="24"/>
        </w:rPr>
        <w:t>NaHCO</w:t>
      </w:r>
      <w:proofErr w:type="spellEnd"/>
      <w:r>
        <w:rPr>
          <w:rFonts w:ascii="Songti SC Regular" w:eastAsia="Songti SC Regular" w:hAnsi="Songti SC Regular" w:cs="Songti SC Regular" w:hint="eastAsia"/>
          <w:sz w:val="24"/>
        </w:rPr>
        <w:t>₃浸提-钼锑抗比色法测定。每个样品重复测定3次，结果以平均值±标准差表示。</w:t>
      </w:r>
    </w:p>
    <w:p w14:paraId="2466D0AD" w14:textId="77777777" w:rsidR="004F5AFF"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2.5 土壤DNA提取与16S rRNA扩增子测序</w:t>
      </w:r>
    </w:p>
    <w:p w14:paraId="17604FB9" w14:textId="77777777" w:rsidR="004F5AFF"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取各处理的鲜土样约0.5 g，使用FastDNA® Spin Kit for Soil（MP Biomedicals，美国）按照说明书提取土壤总DNA。提取的DNA经1%琼脂糖凝胶电泳检测完整性，并使用</w:t>
      </w:r>
      <w:proofErr w:type="spellStart"/>
      <w:r>
        <w:rPr>
          <w:rFonts w:ascii="Songti SC Regular" w:eastAsia="Songti SC Regular" w:hAnsi="Songti SC Regular" w:cs="Songti SC Regular" w:hint="eastAsia"/>
          <w:sz w:val="24"/>
        </w:rPr>
        <w:t>NanoDrop</w:t>
      </w:r>
      <w:proofErr w:type="spellEnd"/>
      <w:r>
        <w:rPr>
          <w:rFonts w:ascii="Songti SC Regular" w:eastAsia="Songti SC Regular" w:hAnsi="Songti SC Regular" w:cs="Songti SC Regular" w:hint="eastAsia"/>
          <w:sz w:val="24"/>
        </w:rPr>
        <w:t xml:space="preserve"> 2000分光光度计检测纯度和浓度。合格的DNA样品保存于-20℃冰箱备用。</w:t>
      </w:r>
    </w:p>
    <w:p w14:paraId="64DF1BA2" w14:textId="77777777" w:rsidR="004F5AFF"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采用细菌16S rRNA基因V3-V4区通用引物338F（5‘-ACTCCTACGGGAGGCAGCAG-3’）和806R（5‘-GGACTACHVGGGTWTCTAAT-3’）进行PCR扩增。PCR反应体系（25 μL）包含：2×Phusion High-Fidelity PCR Master Mix 12.5 μL，正反向引物各0.5 μM，模板DNA 10 ng，加</w:t>
      </w:r>
      <w:proofErr w:type="spellStart"/>
      <w:r>
        <w:rPr>
          <w:rFonts w:ascii="Songti SC Regular" w:eastAsia="Songti SC Regular" w:hAnsi="Songti SC Regular" w:cs="Songti SC Regular" w:hint="eastAsia"/>
          <w:sz w:val="24"/>
        </w:rPr>
        <w:t>ddH</w:t>
      </w:r>
      <w:proofErr w:type="spellEnd"/>
      <w:r>
        <w:rPr>
          <w:rFonts w:ascii="Songti SC Regular" w:eastAsia="Songti SC Regular" w:hAnsi="Songti SC Regular" w:cs="Songti SC Regular" w:hint="eastAsia"/>
          <w:sz w:val="24"/>
        </w:rPr>
        <w:t>₂O补足至25 μL。PCR扩增程序为：98℃预变性1 min；98℃变性10 s，50℃退火30 s，72℃延伸30 s，共30个循环；最后72℃终延伸5 min。PCR产物经2%琼脂糖凝胶电泳检测后，使用</w:t>
      </w:r>
      <w:proofErr w:type="spellStart"/>
      <w:r>
        <w:rPr>
          <w:rFonts w:ascii="Songti SC Regular" w:eastAsia="Songti SC Regular" w:hAnsi="Songti SC Regular" w:cs="Songti SC Regular" w:hint="eastAsia"/>
          <w:sz w:val="24"/>
        </w:rPr>
        <w:t>AxyPrep</w:t>
      </w:r>
      <w:proofErr w:type="spellEnd"/>
      <w:r>
        <w:rPr>
          <w:rFonts w:ascii="Songti SC Regular" w:eastAsia="Songti SC Regular" w:hAnsi="Songti SC Regular" w:cs="Songti SC Regular" w:hint="eastAsia"/>
          <w:sz w:val="24"/>
        </w:rPr>
        <w:t xml:space="preserve"> DNA Gel Extraction Kit（</w:t>
      </w:r>
      <w:proofErr w:type="spellStart"/>
      <w:r>
        <w:rPr>
          <w:rFonts w:ascii="Songti SC Regular" w:eastAsia="Songti SC Regular" w:hAnsi="Songti SC Regular" w:cs="Songti SC Regular" w:hint="eastAsia"/>
          <w:sz w:val="24"/>
        </w:rPr>
        <w:t>Axygen</w:t>
      </w:r>
      <w:proofErr w:type="spellEnd"/>
      <w:r>
        <w:rPr>
          <w:rFonts w:ascii="Songti SC Regular" w:eastAsia="Songti SC Regular" w:hAnsi="Songti SC Regular" w:cs="Songti SC Regular" w:hint="eastAsia"/>
          <w:sz w:val="24"/>
        </w:rPr>
        <w:t>，美国）切胶回收纯化。纯</w:t>
      </w:r>
      <w:r>
        <w:rPr>
          <w:rFonts w:ascii="Songti SC Regular" w:eastAsia="Songti SC Regular" w:hAnsi="Songti SC Regular" w:cs="Songti SC Regular" w:hint="eastAsia"/>
          <w:sz w:val="24"/>
        </w:rPr>
        <w:lastRenderedPageBreak/>
        <w:t xml:space="preserve">化后的产物送至某生物技术公司，采用Illumina </w:t>
      </w:r>
      <w:proofErr w:type="spellStart"/>
      <w:r>
        <w:rPr>
          <w:rFonts w:ascii="Songti SC Regular" w:eastAsia="Songti SC Regular" w:hAnsi="Songti SC Regular" w:cs="Songti SC Regular" w:hint="eastAsia"/>
          <w:sz w:val="24"/>
        </w:rPr>
        <w:t>NovaSeq</w:t>
      </w:r>
      <w:proofErr w:type="spellEnd"/>
      <w:r>
        <w:rPr>
          <w:rFonts w:ascii="Songti SC Regular" w:eastAsia="Songti SC Regular" w:hAnsi="Songti SC Regular" w:cs="Songti SC Regular" w:hint="eastAsia"/>
          <w:sz w:val="24"/>
        </w:rPr>
        <w:t xml:space="preserve"> 6000平台进行双端测序。</w:t>
      </w:r>
    </w:p>
    <w:p w14:paraId="5E34153A" w14:textId="77777777" w:rsidR="004F5AFF"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2.6 生物信息学与统计分析</w:t>
      </w:r>
    </w:p>
    <w:p w14:paraId="0F1F4A2F" w14:textId="77777777" w:rsidR="004F5AFF"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测序原始数据经质控和过滤后，使用QIIME2软件进行序列去噪、特征表构建和物种注释。参考数据库选用SILVA 138版（https://www.arb-silva.de/）。所有样品按最小测序深度进行抽平处理，以保证后续分析的均一性。</w:t>
      </w:r>
    </w:p>
    <w:p w14:paraId="3E6DA712" w14:textId="77777777" w:rsidR="004F5AFF"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α多样性分析：计算Shannon指数（反映物种多样性）和Chao1指数（反映物种丰富度），采用单因素方差分析（ANOVA）结合Tukey‘s HSD事后检验比较处理组间的差异（p&lt;0.05为差异显著）。β多样性分析：基于Bray-Curtis距离矩阵，通过主坐标分析（Principal Coordinate Analysis，</w:t>
      </w:r>
      <w:proofErr w:type="spellStart"/>
      <w:r>
        <w:rPr>
          <w:rFonts w:ascii="Songti SC Regular" w:eastAsia="Songti SC Regular" w:hAnsi="Songti SC Regular" w:cs="Songti SC Regular" w:hint="eastAsia"/>
          <w:sz w:val="24"/>
        </w:rPr>
        <w:t>PCoA</w:t>
      </w:r>
      <w:proofErr w:type="spellEnd"/>
      <w:r>
        <w:rPr>
          <w:rFonts w:ascii="Songti SC Regular" w:eastAsia="Songti SC Regular" w:hAnsi="Songti SC Regular" w:cs="Songti SC Regular" w:hint="eastAsia"/>
          <w:sz w:val="24"/>
        </w:rPr>
        <w:t>）可视化各处理组间细菌群落结构的差异，并使用置换多元方差分析（PERMANOVA）检验组间差异的显著性。物种组成分析：统计各样品在门水平和属水平的相对丰度，绘制相对丰度柱状图和热图。差异物种分析：采用</w:t>
      </w:r>
      <w:proofErr w:type="spellStart"/>
      <w:r>
        <w:rPr>
          <w:rFonts w:ascii="Songti SC Regular" w:eastAsia="Songti SC Regular" w:hAnsi="Songti SC Regular" w:cs="Songti SC Regular" w:hint="eastAsia"/>
          <w:sz w:val="24"/>
        </w:rPr>
        <w:t>LEfSe</w:t>
      </w:r>
      <w:proofErr w:type="spellEnd"/>
      <w:r>
        <w:rPr>
          <w:rFonts w:ascii="Songti SC Regular" w:eastAsia="Songti SC Regular" w:hAnsi="Songti SC Regular" w:cs="Songti SC Regular" w:hint="eastAsia"/>
          <w:sz w:val="24"/>
        </w:rPr>
        <w:t>（Linear discriminant analysis Effect Size）方法（LDA阈值≥2.0）筛选各组间的标志性差异微生物类群。所有统计分析均在R软件（version 4.1.2）中完成。</w:t>
      </w:r>
    </w:p>
    <w:p w14:paraId="0FAF27A5" w14:textId="77777777" w:rsidR="004F5AFF" w:rsidRDefault="00000000">
      <w:pPr>
        <w:pStyle w:val="1"/>
        <w:spacing w:before="0" w:after="240" w:line="360" w:lineRule="auto"/>
        <w:jc w:val="center"/>
        <w:rPr>
          <w:rFonts w:ascii="Heiti SC Medium" w:eastAsia="Heiti SC Medium" w:hAnsi="Heiti SC Medium" w:cs="Heiti SC Medium"/>
          <w:b/>
          <w:bCs/>
          <w:kern w:val="2"/>
          <w:sz w:val="36"/>
          <w:szCs w:val="36"/>
        </w:rPr>
      </w:pPr>
      <w:r>
        <w:rPr>
          <w:rFonts w:ascii="Heiti SC Medium" w:eastAsia="Heiti SC Medium" w:hAnsi="Heiti SC Medium" w:cs="Heiti SC Medium" w:hint="eastAsia"/>
          <w:b/>
          <w:bCs/>
          <w:kern w:val="2"/>
          <w:sz w:val="36"/>
          <w:szCs w:val="36"/>
        </w:rPr>
        <w:t xml:space="preserve"> 3 结果</w:t>
      </w:r>
    </w:p>
    <w:p w14:paraId="4D90B111" w14:textId="77777777" w:rsidR="004F5AFF"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3.1 土壤理化性质的变化</w:t>
      </w:r>
    </w:p>
    <w:p w14:paraId="42E5C7FF" w14:textId="77777777" w:rsidR="004F5AFF"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培养30天后各处理组土壤的理化性质测定结果如表1所示。总体上，微塑料添加对土壤pH、有机质、铵态氮、硝态氮和有效磷含量均未产生显著影响（p&gt;0.05）。对照组和两个处理组之间的各项理化指标无统计学差异，说明在本实验条件下，微塑料的短期添加尚未引起土壤基本化学性质的明显改变。这一结果使得后续观察到的微生物群落变化能够更直接地归因于微塑料本身的生态效应，而非其诱导的理化环境改变。</w:t>
      </w:r>
    </w:p>
    <w:p w14:paraId="04364DEB" w14:textId="77777777" w:rsidR="004F5AFF" w:rsidRDefault="00000000">
      <w:pPr>
        <w:spacing w:after="240" w:line="360" w:lineRule="auto"/>
        <w:ind w:firstLineChars="200" w:firstLine="480"/>
        <w:jc w:val="center"/>
        <w:rPr>
          <w:rFonts w:ascii="Songti SC Regular" w:eastAsia="Songti SC Regular" w:hAnsi="Songti SC Regular" w:cs="Songti SC Regular"/>
          <w:sz w:val="24"/>
        </w:rPr>
      </w:pPr>
      <w:r>
        <w:rPr>
          <w:rFonts w:ascii="Songti SC Regular" w:eastAsia="Songti SC Regular" w:hAnsi="Songti SC Regular" w:cs="Songti SC Regular" w:hint="eastAsia"/>
          <w:sz w:val="24"/>
        </w:rPr>
        <w:t>表1 各处理组土壤理化性质（平均值±标准差，n=5）</w:t>
      </w:r>
    </w:p>
    <w:p w14:paraId="3257E067" w14:textId="77777777" w:rsidR="004F5AFF"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noProof/>
          <w:sz w:val="24"/>
        </w:rPr>
        <w:lastRenderedPageBreak/>
        <w:drawing>
          <wp:inline distT="0" distB="0" distL="114300" distR="114300" wp14:anchorId="3B346B54" wp14:editId="650655F2">
            <wp:extent cx="5988050" cy="3026410"/>
            <wp:effectExtent l="0" t="0" r="6350" b="21590"/>
            <wp:docPr id="2" name="图片 2" descr="截屏2026-04-13 01.3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截屏2026-04-13 01.38.56"/>
                    <pic:cNvPicPr>
                      <a:picLocks noChangeAspect="1"/>
                    </pic:cNvPicPr>
                  </pic:nvPicPr>
                  <pic:blipFill>
                    <a:blip r:embed="rId8"/>
                    <a:stretch>
                      <a:fillRect/>
                    </a:stretch>
                  </pic:blipFill>
                  <pic:spPr>
                    <a:xfrm>
                      <a:off x="0" y="0"/>
                      <a:ext cx="5988050" cy="3026410"/>
                    </a:xfrm>
                    <a:prstGeom prst="rect">
                      <a:avLst/>
                    </a:prstGeom>
                  </pic:spPr>
                </pic:pic>
              </a:graphicData>
            </a:graphic>
          </wp:inline>
        </w:drawing>
      </w:r>
    </w:p>
    <w:p w14:paraId="70489373" w14:textId="77777777" w:rsidR="004F5AFF"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注：各处理组间无显著差异（p&gt;0.05）。</w:t>
      </w:r>
    </w:p>
    <w:p w14:paraId="2B4DA049" w14:textId="77777777" w:rsidR="004F5AFF"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3.2 α多样性变化</w:t>
      </w:r>
    </w:p>
    <w:p w14:paraId="5C0ACD96" w14:textId="77777777" w:rsidR="004F5AFF"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基于16S rRNA测序数据，本研究对各处理组的细菌α多样性进行了评估。Shannon指数和Chao1指数是反映群落多样性和丰富度的常用指标。结果如图1所示，对照组、低浓度组和高浓度组的Shannon指数分别为6.45±0.23、6.21±0.28和5.87±0.31。高浓度处理组的Shannon指数显著低于对照组（p&lt;0.05），低浓度处理组与对照组之间无显著差异。Chao1指数的变化趋势与Shannon指数基本一致，对照组为1324±89，低浓度组为1287±102，高浓度组为1198±97，高浓度组较对照组下降了约9.5%（p&lt;0.05）。以上结果表明，高浓度的PE微塑料短期暴露即可显著降低土壤细菌群落的物种多样性和丰富度，而这种抑制效应在低浓度下尚未达到显著水平。</w:t>
      </w:r>
    </w:p>
    <w:p w14:paraId="257DCEC2" w14:textId="77777777" w:rsidR="004F5AFF"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3.3 β多样性变化</w:t>
      </w:r>
    </w:p>
    <w:p w14:paraId="6671A517" w14:textId="77777777" w:rsidR="004F5AFF"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为评估微塑料添加对细菌群落整体结构的调控作用，本研究基于Bray-Curtis距离进行了主坐标分析（</w:t>
      </w:r>
      <w:proofErr w:type="spellStart"/>
      <w:r>
        <w:rPr>
          <w:rFonts w:ascii="Songti SC Regular" w:eastAsia="Songti SC Regular" w:hAnsi="Songti SC Regular" w:cs="Songti SC Regular" w:hint="eastAsia"/>
          <w:sz w:val="24"/>
        </w:rPr>
        <w:t>PCoA</w:t>
      </w:r>
      <w:proofErr w:type="spellEnd"/>
      <w:r>
        <w:rPr>
          <w:rFonts w:ascii="Songti SC Regular" w:eastAsia="Songti SC Regular" w:hAnsi="Songti SC Regular" w:cs="Songti SC Regular" w:hint="eastAsia"/>
          <w:sz w:val="24"/>
        </w:rPr>
        <w:t>）。结果如图2所示，第一主坐标（PCo1）和第二主坐标（PCo2）分别解释了总变异的28.6%和15.3%。对照组样品在</w:t>
      </w:r>
      <w:proofErr w:type="spellStart"/>
      <w:r>
        <w:rPr>
          <w:rFonts w:ascii="Songti SC Regular" w:eastAsia="Songti SC Regular" w:hAnsi="Songti SC Regular" w:cs="Songti SC Regular" w:hint="eastAsia"/>
          <w:sz w:val="24"/>
        </w:rPr>
        <w:t>PCoA</w:t>
      </w:r>
      <w:proofErr w:type="spellEnd"/>
      <w:r>
        <w:rPr>
          <w:rFonts w:ascii="Songti SC Regular" w:eastAsia="Songti SC Regular" w:hAnsi="Songti SC Regular" w:cs="Songti SC Regular" w:hint="eastAsia"/>
          <w:sz w:val="24"/>
        </w:rPr>
        <w:t>排序图上较为聚集，而低浓度处理</w:t>
      </w:r>
      <w:r>
        <w:rPr>
          <w:rFonts w:ascii="Songti SC Regular" w:eastAsia="Songti SC Regular" w:hAnsi="Songti SC Regular" w:cs="Songti SC Regular" w:hint="eastAsia"/>
          <w:sz w:val="24"/>
        </w:rPr>
        <w:lastRenderedPageBreak/>
        <w:t>组和高浓度处理组样品则明显向PCo1正方向偏移，与对照组呈现出清晰的分离趋势。进一步采用PERMANOVA检验组间差异的显著性，结果表明处理因素对细菌群落结构变异具有显著影响（R²=0.312，p&lt;0.01），且各处理组间的两两比较均达到显著水平（p&lt;0.05）。值得注意的是，低浓度组与高浓度组之间也表现出部分分离，暗示微塑料浓度对细菌群落结构的重塑作用具有剂量依赖性。</w:t>
      </w:r>
    </w:p>
    <w:p w14:paraId="30D76189" w14:textId="77777777" w:rsidR="004F5AFF"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3.4 门水平群落组成变化</w:t>
      </w:r>
    </w:p>
    <w:p w14:paraId="51C59A1D" w14:textId="77777777" w:rsidR="004F5AFF"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为了解微塑料添加对土壤细菌门水平群落组成的影响，本研究统计了各处理组中相对丰度排名前10的细菌门。结果如图3所示，所有处理组中占主导地位的门类主要包括变形菌门（Proteobacteria）、酸杆菌门（</w:t>
      </w:r>
      <w:proofErr w:type="spellStart"/>
      <w:r>
        <w:rPr>
          <w:rFonts w:ascii="Songti SC Regular" w:eastAsia="Songti SC Regular" w:hAnsi="Songti SC Regular" w:cs="Songti SC Regular" w:hint="eastAsia"/>
          <w:sz w:val="24"/>
        </w:rPr>
        <w:t>Acidobacteria</w:t>
      </w:r>
      <w:proofErr w:type="spellEnd"/>
      <w:r>
        <w:rPr>
          <w:rFonts w:ascii="Songti SC Regular" w:eastAsia="Songti SC Regular" w:hAnsi="Songti SC Regular" w:cs="Songti SC Regular" w:hint="eastAsia"/>
          <w:sz w:val="24"/>
        </w:rPr>
        <w:t>）、放线菌门（Actinobacteria）、绿弯菌门（Chloroflexi）和拟杆菌门（Bacteroidetes），这5个门的相对丰度之和超过总序列数的80%。微塑料处理显著改变了部分门的相对丰度。其中，变形菌门的相对丰度在对照组中为28.4%，在低浓度处理组中上升至32.1%，在高浓度处理组中进一步上升至36.7%，与微塑料浓度呈正相关。相反，酸杆菌门的相对丰度随微塑料浓度的增加而逐渐下降，对照组为20.2%，高浓度组降至15.8%。放线菌门和绿弯菌门在各处理组间未表现出明显的规律性变化。</w:t>
      </w:r>
    </w:p>
    <w:p w14:paraId="24B6201B" w14:textId="77777777" w:rsidR="004F5AFF"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3.5 属水平群落组成变化</w:t>
      </w:r>
    </w:p>
    <w:p w14:paraId="79FA6FEA" w14:textId="77777777" w:rsidR="004F5AFF"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在属水平上，本研究进一步分析了各处理组的群落组成差异（图4）。对照组中相对丰度较高的优势属主要包括</w:t>
      </w:r>
      <w:proofErr w:type="spellStart"/>
      <w:r>
        <w:rPr>
          <w:rFonts w:ascii="Songti SC Regular" w:eastAsia="Songti SC Regular" w:hAnsi="Songti SC Regular" w:cs="Songti SC Regular" w:hint="eastAsia"/>
          <w:sz w:val="24"/>
        </w:rPr>
        <w:t>norank_f_Gemmatimonadaceae</w:t>
      </w:r>
      <w:proofErr w:type="spellEnd"/>
      <w:r>
        <w:rPr>
          <w:rFonts w:ascii="Songti SC Regular" w:eastAsia="Songti SC Regular" w:hAnsi="Songti SC Regular" w:cs="Songti SC Regular" w:hint="eastAsia"/>
          <w:sz w:val="24"/>
        </w:rPr>
        <w:t>（5.2%）、</w:t>
      </w:r>
      <w:proofErr w:type="spellStart"/>
      <w:r>
        <w:rPr>
          <w:rFonts w:ascii="Songti SC Regular" w:eastAsia="Songti SC Regular" w:hAnsi="Songti SC Regular" w:cs="Songti SC Regular" w:hint="eastAsia"/>
          <w:sz w:val="24"/>
        </w:rPr>
        <w:t>norank_f_Acidobacteriaceae</w:t>
      </w:r>
      <w:proofErr w:type="spellEnd"/>
      <w:r>
        <w:rPr>
          <w:rFonts w:ascii="Songti SC Regular" w:eastAsia="Songti SC Regular" w:hAnsi="Songti SC Regular" w:cs="Songti SC Regular" w:hint="eastAsia"/>
          <w:sz w:val="24"/>
        </w:rPr>
        <w:t>（4.8%）、芽孢杆菌属（Bacillus，4.1%）、鞘氨醇单胞菌属（</w:t>
      </w:r>
      <w:proofErr w:type="spellStart"/>
      <w:r>
        <w:rPr>
          <w:rFonts w:ascii="Songti SC Regular" w:eastAsia="Songti SC Regular" w:hAnsi="Songti SC Regular" w:cs="Songti SC Regular" w:hint="eastAsia"/>
          <w:sz w:val="24"/>
        </w:rPr>
        <w:t>Sphingomonas</w:t>
      </w:r>
      <w:proofErr w:type="spellEnd"/>
      <w:r>
        <w:rPr>
          <w:rFonts w:ascii="Songti SC Regular" w:eastAsia="Songti SC Regular" w:hAnsi="Songti SC Regular" w:cs="Songti SC Regular" w:hint="eastAsia"/>
          <w:sz w:val="24"/>
        </w:rPr>
        <w:t>，3.7%）和假单胞菌属（Pseudomonas，2.9%）等。微塑料处理后，部分潜在降解菌属的相对丰度呈上升趋势，其中芽孢杆菌属的相对丰度在高浓度处理组中上升至6.8%，假单胞菌属上升至4.5%。这些细菌类群被报道具有降解聚乙烯等碳氢聚合物的潜力。</w:t>
      </w:r>
      <w:r>
        <w:rPr>
          <w:rFonts w:ascii="Songti SC Regular" w:eastAsia="Songti SC Regular" w:hAnsi="Songti SC Regular" w:cs="Songti SC Regular" w:hint="eastAsia"/>
          <w:sz w:val="24"/>
        </w:rPr>
        <w:lastRenderedPageBreak/>
        <w:t>相反，一些与寡营养环境适应相关的属（如</w:t>
      </w:r>
      <w:proofErr w:type="spellStart"/>
      <w:r>
        <w:rPr>
          <w:rFonts w:ascii="Songti SC Regular" w:eastAsia="Songti SC Regular" w:hAnsi="Songti SC Regular" w:cs="Songti SC Regular" w:hint="eastAsia"/>
          <w:sz w:val="24"/>
        </w:rPr>
        <w:t>norank_f_Acidobacteriaceae</w:t>
      </w:r>
      <w:proofErr w:type="spellEnd"/>
      <w:r>
        <w:rPr>
          <w:rFonts w:ascii="Songti SC Regular" w:eastAsia="Songti SC Regular" w:hAnsi="Songti SC Regular" w:cs="Songti SC Regular" w:hint="eastAsia"/>
          <w:sz w:val="24"/>
        </w:rPr>
        <w:t>）的相对丰度在微塑料处理后有所降低。上述结果表明，微塑料的添加在属水平上对细菌群落产生了选择性调控效应，部分能够响应或降解微塑料的类群在胁迫条件下获得了竞争优势。</w:t>
      </w:r>
    </w:p>
    <w:p w14:paraId="17A4687C" w14:textId="77777777" w:rsidR="004F5AFF"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3.6 差异物种分析</w:t>
      </w:r>
    </w:p>
    <w:p w14:paraId="194915EC" w14:textId="77777777" w:rsidR="004F5AFF"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为进一步识别各组之间的标志性差异物种，本研究采用</w:t>
      </w:r>
      <w:proofErr w:type="spellStart"/>
      <w:r>
        <w:rPr>
          <w:rFonts w:ascii="Songti SC Regular" w:eastAsia="Songti SC Regular" w:hAnsi="Songti SC Regular" w:cs="Songti SC Regular" w:hint="eastAsia"/>
          <w:sz w:val="24"/>
        </w:rPr>
        <w:t>LEfSe</w:t>
      </w:r>
      <w:proofErr w:type="spellEnd"/>
      <w:r>
        <w:rPr>
          <w:rFonts w:ascii="Songti SC Regular" w:eastAsia="Songti SC Regular" w:hAnsi="Songti SC Regular" w:cs="Songti SC Regular" w:hint="eastAsia"/>
          <w:sz w:val="24"/>
        </w:rPr>
        <w:t>分析（LDA&gt;2.0）进行筛选。结果如图5所示，对照组中显著富集的差异物种主要包括酸杆菌门下的部分未分类类群以及</w:t>
      </w:r>
      <w:proofErr w:type="spellStart"/>
      <w:r>
        <w:rPr>
          <w:rFonts w:ascii="Songti SC Regular" w:eastAsia="Songti SC Regular" w:hAnsi="Songti SC Regular" w:cs="Songti SC Regular" w:hint="eastAsia"/>
          <w:sz w:val="24"/>
        </w:rPr>
        <w:t>Gemmatimonadaceae</w:t>
      </w:r>
      <w:proofErr w:type="spellEnd"/>
      <w:r>
        <w:rPr>
          <w:rFonts w:ascii="Songti SC Regular" w:eastAsia="Songti SC Regular" w:hAnsi="Songti SC Regular" w:cs="Songti SC Regular" w:hint="eastAsia"/>
          <w:sz w:val="24"/>
        </w:rPr>
        <w:t>科等。低浓度处理组的标志物种包括鞘氨醇单胞菌属（</w:t>
      </w:r>
      <w:proofErr w:type="spellStart"/>
      <w:r>
        <w:rPr>
          <w:rFonts w:ascii="Songti SC Regular" w:eastAsia="Songti SC Regular" w:hAnsi="Songti SC Regular" w:cs="Songti SC Regular" w:hint="eastAsia"/>
          <w:sz w:val="24"/>
        </w:rPr>
        <w:t>Sphingomonas</w:t>
      </w:r>
      <w:proofErr w:type="spellEnd"/>
      <w:r>
        <w:rPr>
          <w:rFonts w:ascii="Songti SC Regular" w:eastAsia="Songti SC Regular" w:hAnsi="Songti SC Regular" w:cs="Songti SC Regular" w:hint="eastAsia"/>
          <w:sz w:val="24"/>
        </w:rPr>
        <w:t>）和某些黄杆菌目（</w:t>
      </w:r>
      <w:proofErr w:type="spellStart"/>
      <w:r>
        <w:rPr>
          <w:rFonts w:ascii="Songti SC Regular" w:eastAsia="Songti SC Regular" w:hAnsi="Songti SC Regular" w:cs="Songti SC Regular" w:hint="eastAsia"/>
          <w:sz w:val="24"/>
        </w:rPr>
        <w:t>Flavobacteriales</w:t>
      </w:r>
      <w:proofErr w:type="spellEnd"/>
      <w:r>
        <w:rPr>
          <w:rFonts w:ascii="Songti SC Regular" w:eastAsia="Songti SC Regular" w:hAnsi="Songti SC Regular" w:cs="Songti SC Regular" w:hint="eastAsia"/>
          <w:sz w:val="24"/>
        </w:rPr>
        <w:t>）成员。高浓度处理组中显著富集的标志物种则以芽孢杆菌属（Bacillus）和假单胞菌属（Pseudomonas）为主，这与前述相对丰度的分析结果相互印证。</w:t>
      </w:r>
      <w:proofErr w:type="spellStart"/>
      <w:r>
        <w:rPr>
          <w:rFonts w:ascii="Songti SC Regular" w:eastAsia="Songti SC Regular" w:hAnsi="Songti SC Regular" w:cs="Songti SC Regular" w:hint="eastAsia"/>
          <w:sz w:val="24"/>
        </w:rPr>
        <w:t>LEfSe</w:t>
      </w:r>
      <w:proofErr w:type="spellEnd"/>
      <w:r>
        <w:rPr>
          <w:rFonts w:ascii="Songti SC Regular" w:eastAsia="Songti SC Regular" w:hAnsi="Songti SC Regular" w:cs="Songti SC Regular" w:hint="eastAsia"/>
          <w:sz w:val="24"/>
        </w:rPr>
        <w:t>分析结果进一步证实了微塑料处理对细菌群落的定向筛选效应，其中高浓度微塑料暴露尤其促进了具有潜在降解能力的细菌类群的富集。</w:t>
      </w:r>
    </w:p>
    <w:p w14:paraId="23DAAD0B" w14:textId="77777777" w:rsidR="004F5AFF" w:rsidRDefault="00000000">
      <w:pPr>
        <w:pStyle w:val="1"/>
        <w:spacing w:before="0" w:after="240" w:line="360" w:lineRule="auto"/>
        <w:jc w:val="center"/>
        <w:rPr>
          <w:rFonts w:ascii="Heiti SC Medium" w:eastAsia="Heiti SC Medium" w:hAnsi="Heiti SC Medium" w:cs="Heiti SC Medium"/>
          <w:b/>
          <w:bCs/>
          <w:kern w:val="2"/>
          <w:sz w:val="36"/>
          <w:szCs w:val="36"/>
        </w:rPr>
      </w:pPr>
      <w:r>
        <w:rPr>
          <w:rFonts w:ascii="Heiti SC Medium" w:eastAsia="Heiti SC Medium" w:hAnsi="Heiti SC Medium" w:cs="Heiti SC Medium" w:hint="eastAsia"/>
          <w:b/>
          <w:bCs/>
          <w:kern w:val="2"/>
          <w:sz w:val="36"/>
          <w:szCs w:val="36"/>
        </w:rPr>
        <w:t xml:space="preserve"> 4 讨论</w:t>
      </w:r>
    </w:p>
    <w:p w14:paraId="172D3C37" w14:textId="77777777" w:rsidR="004F5AFF"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4.1 微塑料降低微生物多样性的可能机制</w:t>
      </w:r>
    </w:p>
    <w:p w14:paraId="3D6BCCD1" w14:textId="77777777" w:rsidR="004F5AFF"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本研究发现，30天的PE微塑料暴露足以引起城市绿地土壤细菌α多样性的显著下降，这一结果与已有文献中的短期暴露研究结论基本一致。费禹凡等对设施农业土壤开展的29天微塑料暴露培养试验也表明，聚乙烯微塑料的添加会一定程度抑制土壤细菌群落丰富度的恢复。那么，微塑料导致微生物多样性降低的机制是什么？</w:t>
      </w:r>
    </w:p>
    <w:p w14:paraId="6B9D48A9" w14:textId="77777777" w:rsidR="004F5AFF"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第一，微塑料颗粒的加入可能通过物理机制改变土壤的微环境。微塑料颗粒作为外来惰性物质进入土壤基质后，可能填充土壤孔隙、改变土壤团聚体的形成与稳定性，从而影响土壤的通气性和水分分布，为微生物群落创造异质性的生存条件。在微塑料浓度较高的处理中（2% w/w），这种物理基质的改变可能更为显著，使得部分对微环境敏感的原生微生物类群受到抑制而逐渐退出群落。</w:t>
      </w:r>
    </w:p>
    <w:p w14:paraId="0BF97A54" w14:textId="77777777" w:rsidR="004F5AFF"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lastRenderedPageBreak/>
        <w:t>第二，微塑料可能释放添加剂造成选择性胁迫。聚乙烯在生产和加工过程中通常会添加增塑剂、抗氧化剂、阻燃剂等各类添加剂。虽然本研究在实验前对PE颗粒进行了清洗，但仍不能完全排除微塑料表面吸附或内部残留添加剂的缓慢释放。已有研究表明，微塑料添加剂对土壤微生物具有潜在的毒性效应，可能导致敏感类群的丰度下降。</w:t>
      </w:r>
    </w:p>
    <w:p w14:paraId="7CD69073" w14:textId="77777777" w:rsidR="004F5AFF"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第三，微塑料可能成为“选择性生态位”，诱导微生物群落的定向演替。微塑料表面会被微生物迅速定殖形成“塑料际”，邓文博等的研究指出，塑料际中的微生物群落网络比土壤中的网络表现出更低的复杂性和稳定性以及更低的功能多样性。这意味着部分微生物从土壤本体的“自由态”转移到塑料际的“附着态”后，其生态功能可能发生改变，同时土壤本体的微生物多样性也可能因优势类群的转移而相对下降。此外，微塑料的表面化学性质可能对特定微生物类群产生“筛选效应”——塑料际细菌群落的组装过程受到确定性过程的贡献大于真菌群落，表明微塑料对细菌的筛选作用强于对真菌的筛选作用。</w:t>
      </w:r>
    </w:p>
    <w:p w14:paraId="4E7084DC" w14:textId="77777777" w:rsidR="004F5AFF"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4.2 变形菌门增加与碳降解潜力的关联</w:t>
      </w:r>
    </w:p>
    <w:p w14:paraId="4DA5DA24" w14:textId="77777777" w:rsidR="004F5AFF"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本研究观察到的一个显著现象是，随着微塑料浓度的升高，变形菌门（Proteobacteria）的相对丰度显著增加，而酸杆菌门（</w:t>
      </w:r>
      <w:proofErr w:type="spellStart"/>
      <w:r>
        <w:rPr>
          <w:rFonts w:ascii="Songti SC Regular" w:eastAsia="Songti SC Regular" w:hAnsi="Songti SC Regular" w:cs="Songti SC Regular" w:hint="eastAsia"/>
          <w:sz w:val="24"/>
        </w:rPr>
        <w:t>Acidobacteria</w:t>
      </w:r>
      <w:proofErr w:type="spellEnd"/>
      <w:r>
        <w:rPr>
          <w:rFonts w:ascii="Songti SC Regular" w:eastAsia="Songti SC Regular" w:hAnsi="Songti SC Regular" w:cs="Songti SC Regular" w:hint="eastAsia"/>
          <w:sz w:val="24"/>
        </w:rPr>
        <w:t>）的相对丰度则相应下降。这一门水平上的群落结构变化具有重要的生态学意义。变形菌门是土壤细菌群落中最为多样化和功能丰富的类群之一，包含了大量的有机质降解菌和碳循环相关微生物。已有研究表明，微塑料添加可导致变形菌门丰度的增加，这与微生物对有机碳可利用性增加的响应有关。微塑料本身作为一种高分子聚合物，虽然难以快速降解，但其表面和周围微环境中会富集来自土壤有机质的代谢产物，为部分异养微生物提供了额外的碳源和能源。有研究进一步指出，微塑料附着的关键微生物具有显著高于土壤微生物的有机碳降解能力，使得塑料际成为土壤中有机碳代谢的热点区域。</w:t>
      </w:r>
    </w:p>
    <w:p w14:paraId="6EAE7855" w14:textId="77777777" w:rsidR="004F5AFF"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相比之下，酸杆菌门通常与寡营养环境密切相关，许多酸杆菌门的成员偏好较低的碳</w:t>
      </w:r>
      <w:r>
        <w:rPr>
          <w:rFonts w:ascii="Songti SC Regular" w:eastAsia="Songti SC Regular" w:hAnsi="Songti SC Regular" w:cs="Songti SC Regular" w:hint="eastAsia"/>
          <w:sz w:val="24"/>
        </w:rPr>
        <w:lastRenderedPageBreak/>
        <w:t>可利用性和较为稳定的微环境。微塑料处理带来的环境扰动和有机碳代谢格局的改变，可能不利于酸杆菌门类群的维持和生长，从而导致其相对丰度的下降。本研究中酸杆菌门丰度随微塑料浓度升高而逐渐下降的趋势，与变形菌门的上升趋势形成了此消彼长的对应关系，反映了微塑料暴露诱导的土壤微生物群落从寡营养型向富营养型的演替趋势。</w:t>
      </w:r>
    </w:p>
    <w:p w14:paraId="364B4C3E" w14:textId="77777777" w:rsidR="004F5AFF"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4.3 潜在降解菌的富集</w:t>
      </w:r>
    </w:p>
    <w:p w14:paraId="01B8A7A4" w14:textId="77777777" w:rsidR="004F5AFF"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在属水平上，本研究发现芽孢杆菌属（Bacillus）和假单胞菌属（Pseudomonas）的相对丰度在微塑料处理组中显著上升。这两个属在环境微生物学文献中已被多次报道具有降解多种有机污染物（包括聚乙烯、聚苯乙烯等塑料聚合物）的潜力。例如，有研究发现，塑料际中的细菌群落富集了具有较强有机碳降解能力的类群，其中就包括芽孢杆菌属和假单胞菌属的成员。此外，近期一项关于可生物降解微塑料对土壤细菌群落影响的研究也发现，Bio-MPs显著增加了PBAT/PLA降解相关细菌（包括</w:t>
      </w:r>
      <w:proofErr w:type="spellStart"/>
      <w:r>
        <w:rPr>
          <w:rFonts w:ascii="Songti SC Regular" w:eastAsia="Songti SC Regular" w:hAnsi="Songti SC Regular" w:cs="Songti SC Regular" w:hint="eastAsia"/>
          <w:sz w:val="24"/>
        </w:rPr>
        <w:t>Ramlibacter</w:t>
      </w:r>
      <w:proofErr w:type="spellEnd"/>
      <w:r>
        <w:rPr>
          <w:rFonts w:ascii="Songti SC Regular" w:eastAsia="Songti SC Regular" w:hAnsi="Songti SC Regular" w:cs="Songti SC Regular" w:hint="eastAsia"/>
          <w:sz w:val="24"/>
        </w:rPr>
        <w:t>、</w:t>
      </w:r>
      <w:proofErr w:type="spellStart"/>
      <w:r>
        <w:rPr>
          <w:rFonts w:ascii="Songti SC Regular" w:eastAsia="Songti SC Regular" w:hAnsi="Songti SC Regular" w:cs="Songti SC Regular" w:hint="eastAsia"/>
          <w:sz w:val="24"/>
        </w:rPr>
        <w:t>Bradyrhizobium</w:t>
      </w:r>
      <w:proofErr w:type="spellEnd"/>
      <w:r>
        <w:rPr>
          <w:rFonts w:ascii="Songti SC Regular" w:eastAsia="Songti SC Regular" w:hAnsi="Songti SC Regular" w:cs="Songti SC Regular" w:hint="eastAsia"/>
          <w:sz w:val="24"/>
        </w:rPr>
        <w:t>和Microbacterium等）的相对丰度。虽然本研究所用的PE为传统不可降解微塑料，但部分细菌可能通过共代谢等机制利用微塑料表面释放的少量小分子物质（如低聚物、添加剂等），从而在微塑料胁迫下获得竞争优势。这一现象表明，即便在30天的短期暴露内，微塑料已开始对土壤微生物群落产生“功能筛选”作用，这可能预示着微塑料污染对土壤生态功能的长期影响。</w:t>
      </w:r>
    </w:p>
    <w:p w14:paraId="2403EC23" w14:textId="77777777" w:rsidR="004F5AFF"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4.4 与更长期研究的对比</w:t>
      </w:r>
    </w:p>
    <w:p w14:paraId="4586BEFA" w14:textId="77777777" w:rsidR="004F5AFF"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值得注意的是，本研究在30天的短期暴露条件下即观察到了显著的微生物群落变化，这与部分文献中报道的更长周期（如90天或数月）的研究结果在趋势上具有一定的可比性。然而，短期暴露和长期暴露的效应在机制和程度上可能存在差异。有长期暴露研究发现，微塑料对土壤微生物群落组成、多样性、网络结构及功能基因表达的影响会随着暴露时间的延长而进一步加剧，并且暴露时间和微塑料类型对这些影响的相对贡献可以通过定量分</w:t>
      </w:r>
      <w:r>
        <w:rPr>
          <w:rFonts w:ascii="Songti SC Regular" w:eastAsia="Songti SC Regular" w:hAnsi="Songti SC Regular" w:cs="Songti SC Regular" w:hint="eastAsia"/>
          <w:sz w:val="24"/>
        </w:rPr>
        <w:lastRenderedPageBreak/>
        <w:t>析加以区分。因此，本研究的短期效应结果可视为长期生态演替的早期信号，但后续的群落演替方向、多样性是否进一步下降、功能基因如何变化等问题，仍有待通过更长周期的追踪实验来阐明。</w:t>
      </w:r>
    </w:p>
    <w:p w14:paraId="5D595981" w14:textId="77777777" w:rsidR="004F5AFF"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4.5 局限性</w:t>
      </w:r>
    </w:p>
    <w:p w14:paraId="47CB9E27" w14:textId="77777777" w:rsidR="004F5AFF"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本研究存在一定的局限性，需要在结果解读和后续研究中加以注意。首先，本研究仅选取了单一类型（聚乙烯）和单一粒径（100—200 μm）的微塑料，而城市绿地土壤中的微塑料实际上是多种聚合物类型、多种粒径和多种形态（如碎片、纤维、薄膜等）的复杂混合物。不同聚合物类型和形态的微塑料对土壤微生物群落的影响可能存在显著差异。其次，本实验所用的聚乙烯颗粒为商业化的原始微塑料，而真实环境中的微塑料通常经历了不同程度的老化过程（如紫外辐照、机械磨损、生物风化等）。老化后的微塑料表面化学性质、疏水性和添加剂释放行为均可能发生改变，其对微生物群落的影响可能与原始微塑料不同。最后，本研究仅关注了细菌群落，未涉及真菌、古菌等其他微生物类群，也未通过宏基因组学等手段探讨功能基因的变化，对微生物功能的全面理解有待进一步深化。后续研究应从聚合物类型多样化、微塑料老化模拟、多界微生物联合分析以及功能基因组学等角度进行系统性拓展。</w:t>
      </w:r>
    </w:p>
    <w:p w14:paraId="697F1469" w14:textId="77777777" w:rsidR="004F5AFF" w:rsidRDefault="00000000">
      <w:pPr>
        <w:pStyle w:val="1"/>
        <w:spacing w:before="0" w:after="240" w:line="360" w:lineRule="auto"/>
        <w:jc w:val="center"/>
        <w:rPr>
          <w:rFonts w:ascii="Heiti SC Medium" w:eastAsia="Heiti SC Medium" w:hAnsi="Heiti SC Medium" w:cs="Heiti SC Medium"/>
          <w:b/>
          <w:bCs/>
          <w:kern w:val="2"/>
          <w:sz w:val="36"/>
          <w:szCs w:val="36"/>
        </w:rPr>
      </w:pPr>
      <w:r>
        <w:rPr>
          <w:rFonts w:ascii="Heiti SC Medium" w:eastAsia="Heiti SC Medium" w:hAnsi="Heiti SC Medium" w:cs="Heiti SC Medium" w:hint="eastAsia"/>
          <w:b/>
          <w:bCs/>
          <w:kern w:val="2"/>
          <w:sz w:val="36"/>
          <w:szCs w:val="36"/>
        </w:rPr>
        <w:t xml:space="preserve"> 5 结论</w:t>
      </w:r>
    </w:p>
    <w:p w14:paraId="4B3EDC9B" w14:textId="77777777" w:rsidR="004F5AFF"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本研究通过30天的温室微宇宙培养实验，系统评估了聚乙烯微塑料短期暴露对城市绿地土壤细菌多样性和群落结构的影响，得出以下主要结论：</w:t>
      </w:r>
    </w:p>
    <w:p w14:paraId="45A205B1" w14:textId="77777777" w:rsidR="004F5AFF"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（1）PE微塑料短期暴露（30天）已足以对城市绿地土壤细菌群落产生显著扰动。高浓度处理（2% w/w）使Shannon指数显著降低，Chao1指数亦呈现下降趋势，表明微塑料污染能够抑制土壤细菌的多样性和丰富度。</w:t>
      </w:r>
    </w:p>
    <w:p w14:paraId="73C139E7" w14:textId="77777777" w:rsidR="004F5AFF"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lastRenderedPageBreak/>
        <w:t>（2）β多样性分析显示，微塑料处理组与对照组的细菌群落结构明显分离，且不同浓度处理组之间也存在一定差异，说明微塑料对细菌群落结构的重塑作用具有剂量依赖性。</w:t>
      </w:r>
    </w:p>
    <w:p w14:paraId="56D7549E" w14:textId="77777777" w:rsidR="004F5AFF"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3）微塑料处理显著改变了细菌群落的物种组成。在门水平上，变形菌门相对丰度随微塑料浓度升高而上升，酸杆菌门则相应下降；在属水平上，部分潜在降解菌（如芽孢杆菌属和假单胞菌属）的相对丰度在微塑料处理组中显著增加，表明微塑料对微生物群落具有选择性筛选作用。</w:t>
      </w:r>
    </w:p>
    <w:p w14:paraId="1DD61B6D" w14:textId="77777777" w:rsidR="004F5AFF"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（4）土壤理化性质在30天的暴露期内未发生显著变化，说明观察到的微生物群落变化主要源于微塑料本身的生态效应（如物理基质改变、添加剂释放和选择性生态位的形成），而非其诱导的理化环境改变。</w:t>
      </w:r>
    </w:p>
    <w:p w14:paraId="39E6D8E6" w14:textId="77777777" w:rsidR="004F5AFF"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综上所述，微塑料污染即便在短期内也能对城市绿地土壤微生物群落产生显著影响，改变群落多样性并重塑其结构组成。这一发现揭示了城市绿地微塑料污染的早期生态风险，提示城市管理者应将微塑料监测纳入城市土壤健康评估体系，并采取有效措施减少微塑料向城市绿地的输入。</w:t>
      </w:r>
    </w:p>
    <w:p w14:paraId="681BC126" w14:textId="77777777" w:rsidR="004F5AFF" w:rsidRDefault="004F5AFF">
      <w:pPr>
        <w:spacing w:line="360" w:lineRule="auto"/>
        <w:jc w:val="center"/>
        <w:rPr>
          <w:rFonts w:ascii="Heiti SC Light" w:eastAsia="Heiti SC Light" w:hAnsi="Heiti SC Light" w:cs="Heiti SC Light"/>
          <w:sz w:val="36"/>
          <w:szCs w:val="36"/>
        </w:rPr>
      </w:pPr>
    </w:p>
    <w:p w14:paraId="0BCDC798" w14:textId="77777777" w:rsidR="004F5AFF" w:rsidRDefault="00000000">
      <w:pPr>
        <w:spacing w:line="360" w:lineRule="auto"/>
        <w:jc w:val="center"/>
        <w:rPr>
          <w:rFonts w:ascii="Heiti SC Light" w:eastAsia="Heiti SC Light" w:hAnsi="Heiti SC Light" w:cs="Heiti SC Light"/>
          <w:sz w:val="36"/>
          <w:szCs w:val="36"/>
        </w:rPr>
      </w:pPr>
      <w:r>
        <w:rPr>
          <w:rFonts w:ascii="Heiti SC Light" w:eastAsia="Heiti SC Light" w:hAnsi="Heiti SC Light" w:cs="Heiti SC Light" w:hint="eastAsia"/>
          <w:sz w:val="36"/>
          <w:szCs w:val="36"/>
        </w:rPr>
        <w:t xml:space="preserve"> 参考文献</w:t>
      </w:r>
    </w:p>
    <w:p w14:paraId="706EBE33" w14:textId="77777777" w:rsidR="004F5AFF"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[1] 卢翠玲. 城市土壤中微塑料赋存特征及有机碳对微塑料矿化的影响[D]. 广州大学, 2024.</w:t>
      </w:r>
    </w:p>
    <w:p w14:paraId="63839C44" w14:textId="77777777" w:rsidR="004F5AFF"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[2] 费禹凡, 黄顺寅, 王佳青, 等. 设施农业土壤微塑料污染及其对细菌群落多样性的影响[J]. 科学通报, 2020.</w:t>
      </w:r>
    </w:p>
    <w:p w14:paraId="4B0ED291" w14:textId="77777777" w:rsidR="004F5AFF"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[3] 姚槐应团队. 微塑料添加改变土壤微生物群落结构并刺激土壤二氧化碳排放[J]. Environmental Toxicology and Chemistry, 2021.</w:t>
      </w:r>
    </w:p>
    <w:p w14:paraId="12B0D3CE" w14:textId="77777777" w:rsidR="004F5AFF"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[4] 邓文博, 等. 土壤生态系统中细菌和真菌微塑料际群落的时空演替及其对微塑料降解的影响[J]. Environmental Science &amp; Technology, 2025, 59(29): 15408-15419.</w:t>
      </w:r>
    </w:p>
    <w:p w14:paraId="24BA321F" w14:textId="77777777" w:rsidR="004F5AFF"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lastRenderedPageBreak/>
        <w:t>[5] 刘彪, 等. 干旱与微塑料粒径对土壤细菌群落结构的交互影响机制[J]. 生态环境学报, 2026.</w:t>
      </w:r>
    </w:p>
    <w:p w14:paraId="16219027" w14:textId="77777777" w:rsidR="004F5AFF"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[6] 葛体达, 等. 微塑料重塑土壤微生物网络：可降解PBAT如何让菌群“协作更高效”[J]. Frontiers of Agricultural Science and Engineering, 2025.</w:t>
      </w:r>
    </w:p>
    <w:p w14:paraId="20A3E72F" w14:textId="77777777" w:rsidR="004F5AFF"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[7] 邓文博, 刘文娟, 赵智博, 等. 长期暴露于传统和可生物降解的微塑料对土壤微生物组的影响[J]. Journal of Hazardous Materials, 2025.</w:t>
      </w:r>
    </w:p>
    <w:p w14:paraId="4AE8C6B2" w14:textId="77777777" w:rsidR="004F5AFF" w:rsidRDefault="00000000">
      <w:pPr>
        <w:pStyle w:val="a5"/>
        <w:widowControl/>
        <w:spacing w:beforeAutospacing="0" w:afterAutospacing="0" w:line="360" w:lineRule="auto"/>
        <w:jc w:val="both"/>
        <w:rPr>
          <w:rFonts w:ascii="Times New Roman Regular" w:eastAsia="Songti SC Regular" w:hAnsi="Times New Roman Regular" w:cs="Times New Roman Regular"/>
        </w:rPr>
      </w:pPr>
      <w:r>
        <w:rPr>
          <w:rFonts w:ascii="Times New Roman Regular" w:eastAsia="Songti SC Regular" w:hAnsi="Times New Roman Regular" w:cs="Times New Roman Regular" w:hint="eastAsia"/>
        </w:rPr>
        <w:t>[8] Liu Y, Dong J, Li Y, et al. Occurrence, source and multi-dimensional risk assessment of microplastics in urban soils across functional zones of Hangzhou, China[J]. Journal of Hazardous Materials, 2026.</w:t>
      </w:r>
    </w:p>
    <w:p w14:paraId="5F1B8596" w14:textId="77777777" w:rsidR="004F5AFF" w:rsidRDefault="00000000">
      <w:pPr>
        <w:pStyle w:val="a5"/>
        <w:widowControl/>
        <w:spacing w:beforeAutospacing="0" w:afterAutospacing="0" w:line="360" w:lineRule="auto"/>
        <w:jc w:val="both"/>
        <w:rPr>
          <w:rFonts w:ascii="Times New Roman Regular" w:eastAsia="Songti SC Regular" w:hAnsi="Times New Roman Regular" w:cs="Times New Roman Regular"/>
        </w:rPr>
      </w:pPr>
      <w:r>
        <w:rPr>
          <w:rFonts w:ascii="Times New Roman Regular" w:eastAsia="Songti SC Regular" w:hAnsi="Times New Roman Regular" w:cs="Times New Roman Regular" w:hint="eastAsia"/>
        </w:rPr>
        <w:t>[9] Traditional microplastics alter microbial community, metabolites and nutrition in heavy metal-contaminated coastal saline soil[J]. Communications Earth &amp; Environment, 2025, 6: 867.</w:t>
      </w:r>
    </w:p>
    <w:p w14:paraId="3DE0AD0D" w14:textId="77777777" w:rsidR="004F5AFF" w:rsidRDefault="00000000">
      <w:pPr>
        <w:pStyle w:val="a5"/>
        <w:widowControl/>
        <w:spacing w:beforeAutospacing="0" w:afterAutospacing="0" w:line="360" w:lineRule="auto"/>
        <w:jc w:val="both"/>
        <w:rPr>
          <w:rFonts w:ascii="Times New Roman Regular" w:eastAsia="Songti SC Regular" w:hAnsi="Times New Roman Regular" w:cs="Times New Roman Regular"/>
        </w:rPr>
      </w:pPr>
      <w:r>
        <w:rPr>
          <w:rFonts w:ascii="Times New Roman Regular" w:eastAsia="Songti SC Regular" w:hAnsi="Times New Roman Regular" w:cs="Times New Roman Regular" w:hint="eastAsia"/>
        </w:rPr>
        <w:t>[10] Anthropogenic-vegetation dual controls on the hotspots of microplastic pollution in urban green space soil[J]. Journal of Hazardous Materials, 2025.</w:t>
      </w:r>
    </w:p>
    <w:p w14:paraId="6F5B923A" w14:textId="77777777" w:rsidR="004F5AFF" w:rsidRDefault="00000000">
      <w:pPr>
        <w:pStyle w:val="a5"/>
        <w:widowControl/>
        <w:spacing w:beforeAutospacing="0" w:afterAutospacing="0" w:line="360" w:lineRule="auto"/>
        <w:jc w:val="both"/>
        <w:rPr>
          <w:rFonts w:ascii="Times New Roman Regular" w:eastAsia="Songti SC Regular" w:hAnsi="Times New Roman Regular" w:cs="Times New Roman Regular"/>
        </w:rPr>
      </w:pPr>
      <w:r>
        <w:rPr>
          <w:rFonts w:ascii="Times New Roman Regular" w:eastAsia="Songti SC Regular" w:hAnsi="Times New Roman Regular" w:cs="Times New Roman Regular" w:hint="eastAsia"/>
        </w:rPr>
        <w:t>[11] Lu S, Wei S, Li M, et al. Earthworms alleviate microplastics stress on soil microbial and protist communities[J]. Science of the Total Environment, 2024, 948: 174945.</w:t>
      </w:r>
    </w:p>
    <w:p w14:paraId="2705B85A" w14:textId="77777777" w:rsidR="004F5AFF" w:rsidRDefault="00000000">
      <w:pPr>
        <w:pStyle w:val="a5"/>
        <w:widowControl/>
        <w:spacing w:beforeAutospacing="0" w:afterAutospacing="0" w:line="360" w:lineRule="auto"/>
        <w:jc w:val="both"/>
        <w:rPr>
          <w:rFonts w:ascii="Times New Roman Regular" w:eastAsia="Songti SC Regular" w:hAnsi="Times New Roman Regular" w:cs="Times New Roman Regular"/>
        </w:rPr>
      </w:pPr>
      <w:r>
        <w:rPr>
          <w:rFonts w:ascii="Times New Roman Regular" w:eastAsia="Songti SC Regular" w:hAnsi="Times New Roman Regular" w:cs="Times New Roman Regular" w:hint="eastAsia"/>
        </w:rPr>
        <w:t>[12] Ren L, Zhu W, Zhu M, et al. Effect of biodegradable films on microplastic distribution and microbial community composition in paddy soil[J]. 2026.</w:t>
      </w:r>
    </w:p>
    <w:p w14:paraId="217E2326" w14:textId="77777777" w:rsidR="004F5AFF" w:rsidRDefault="00000000">
      <w:pPr>
        <w:pStyle w:val="a5"/>
        <w:widowControl/>
        <w:spacing w:beforeAutospacing="0" w:afterAutospacing="0" w:line="360" w:lineRule="auto"/>
        <w:jc w:val="both"/>
        <w:rPr>
          <w:rFonts w:ascii="Times New Roman Regular" w:eastAsia="Songti SC Regular" w:hAnsi="Times New Roman Regular" w:cs="Times New Roman Regular"/>
        </w:rPr>
      </w:pPr>
      <w:r>
        <w:rPr>
          <w:rFonts w:ascii="Times New Roman Regular" w:eastAsia="Songti SC Regular" w:hAnsi="Times New Roman Regular" w:cs="Times New Roman Regular" w:hint="eastAsia"/>
        </w:rPr>
        <w:t xml:space="preserve">[13] Metagenomic analysis reveals soil microbiome responses to microplastics and </w:t>
      </w:r>
      <w:proofErr w:type="spellStart"/>
      <w:r>
        <w:rPr>
          <w:rFonts w:ascii="Times New Roman Regular" w:eastAsia="Songti SC Regular" w:hAnsi="Times New Roman Regular" w:cs="Times New Roman Regular" w:hint="eastAsia"/>
        </w:rPr>
        <w:t>ZnO</w:t>
      </w:r>
      <w:proofErr w:type="spellEnd"/>
      <w:r>
        <w:rPr>
          <w:rFonts w:ascii="Times New Roman Regular" w:eastAsia="Songti SC Regular" w:hAnsi="Times New Roman Regular" w:cs="Times New Roman Regular" w:hint="eastAsia"/>
        </w:rPr>
        <w:t xml:space="preserve"> nanoparticles in an agricultural soil[J]. Journal of Hazardous Materials, 2025.</w:t>
      </w:r>
    </w:p>
    <w:p w14:paraId="7F172318" w14:textId="77777777" w:rsidR="004F5AFF" w:rsidRDefault="00000000">
      <w:pPr>
        <w:pStyle w:val="a5"/>
        <w:widowControl/>
        <w:spacing w:beforeAutospacing="0" w:afterAutospacing="0" w:line="360" w:lineRule="auto"/>
        <w:jc w:val="both"/>
        <w:rPr>
          <w:rFonts w:ascii="Times New Roman Regular" w:eastAsia="Songti SC Regular" w:hAnsi="Times New Roman Regular" w:cs="Times New Roman Regular"/>
        </w:rPr>
      </w:pPr>
      <w:r>
        <w:rPr>
          <w:rFonts w:ascii="Times New Roman Regular" w:eastAsia="Songti SC Regular" w:hAnsi="Times New Roman Regular" w:cs="Times New Roman Regular" w:hint="eastAsia"/>
        </w:rPr>
        <w:t xml:space="preserve">[14] Microbial remediation of microplastic-contaminated soil, focusing on mechanisms, benefits, and research gaps[J]. </w:t>
      </w:r>
      <w:proofErr w:type="spellStart"/>
      <w:r>
        <w:rPr>
          <w:rFonts w:ascii="Times New Roman Regular" w:eastAsia="Songti SC Regular" w:hAnsi="Times New Roman Regular" w:cs="Times New Roman Regular" w:hint="eastAsia"/>
        </w:rPr>
        <w:t>npj</w:t>
      </w:r>
      <w:proofErr w:type="spellEnd"/>
      <w:r>
        <w:rPr>
          <w:rFonts w:ascii="Times New Roman Regular" w:eastAsia="Songti SC Regular" w:hAnsi="Times New Roman Regular" w:cs="Times New Roman Regular" w:hint="eastAsia"/>
        </w:rPr>
        <w:t xml:space="preserve"> Emerging Contaminants, 2025.</w:t>
      </w:r>
    </w:p>
    <w:p w14:paraId="35AA5C0F" w14:textId="77777777" w:rsidR="004F5AFF" w:rsidRDefault="00000000">
      <w:pPr>
        <w:pStyle w:val="a5"/>
        <w:widowControl/>
        <w:spacing w:beforeAutospacing="0" w:afterAutospacing="0" w:line="360" w:lineRule="auto"/>
        <w:jc w:val="both"/>
        <w:rPr>
          <w:rFonts w:ascii="Times New Roman Regular" w:eastAsia="Songti SC Regular" w:hAnsi="Times New Roman Regular" w:cs="Times New Roman Regular"/>
        </w:rPr>
      </w:pPr>
      <w:r>
        <w:rPr>
          <w:rFonts w:ascii="Times New Roman Regular" w:eastAsia="Songti SC Regular" w:hAnsi="Times New Roman Regular" w:cs="Times New Roman Regular" w:hint="eastAsia"/>
        </w:rPr>
        <w:t>[15] The Spatiotemporal Successions of Bacterial and Fungal Plastisphere Communities and Their Effects on Microplastic Degradation in Soil Ecosystems[J]. Environmental Science &amp; Technology, 2025, 59(29): 15408-15419.</w:t>
      </w:r>
    </w:p>
    <w:p w14:paraId="639A8D87" w14:textId="77777777" w:rsidR="004F5AFF" w:rsidRDefault="004F5AFF">
      <w:pPr>
        <w:pStyle w:val="a5"/>
        <w:widowControl/>
        <w:spacing w:beforeAutospacing="0" w:afterAutospacing="0" w:line="360" w:lineRule="auto"/>
        <w:jc w:val="both"/>
        <w:rPr>
          <w:rFonts w:ascii="Times New Roman Regular" w:eastAsia="Songti SC Regular" w:hAnsi="Times New Roman Regular" w:cs="Times New Roman Regular"/>
        </w:rPr>
      </w:pPr>
    </w:p>
    <w:sectPr w:rsidR="004F5AFF">
      <w:headerReference w:type="default" r:id="rId9"/>
      <w:footerReference w:type="default" r:id="rId10"/>
      <w:headerReference w:type="first" r:id="rId11"/>
      <w:footerReference w:type="first" r:id="rId12"/>
      <w:pgSz w:w="11906" w:h="16838"/>
      <w:pgMar w:top="1043" w:right="1236" w:bottom="1043" w:left="1236" w:header="850" w:footer="567" w:gutter="0"/>
      <w:pgNumType w:start="1"/>
      <w:cols w:space="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1AEF1" w14:textId="77777777" w:rsidR="0099357B" w:rsidRDefault="0099357B">
      <w:r>
        <w:separator/>
      </w:r>
    </w:p>
  </w:endnote>
  <w:endnote w:type="continuationSeparator" w:id="0">
    <w:p w14:paraId="7124E49D" w14:textId="77777777" w:rsidR="0099357B" w:rsidRDefault="00993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7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
    <w:altName w:val="Calibri"/>
    <w:panose1 w:val="020B0604020202020204"/>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仿宋_GBK">
    <w:altName w:val="微软雅黑"/>
    <w:panose1 w:val="020B0604020202020204"/>
    <w:charset w:val="86"/>
    <w:family w:val="auto"/>
    <w:pitch w:val="default"/>
    <w:sig w:usb0="A0002ABF" w:usb1="38CF7CFA" w:usb2="00082016" w:usb3="00000000" w:csb0="000401FF" w:csb1="00000000"/>
  </w:font>
  <w:font w:name="Songti SC Bold">
    <w:altName w:val="Songti SC"/>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Times New Roman Bold">
    <w:altName w:val="Times New Roman"/>
    <w:panose1 w:val="020B0604020202020204"/>
    <w:charset w:val="00"/>
    <w:family w:val="auto"/>
    <w:pitch w:val="default"/>
    <w:sig w:usb0="E0000AFF" w:usb1="00007843" w:usb2="00000001" w:usb3="00000000" w:csb0="400001BF" w:csb1="DFF70000"/>
  </w:font>
  <w:font w:name="楷体">
    <w:altName w:val="KaiTi"/>
    <w:panose1 w:val="02010609060101010101"/>
    <w:charset w:val="86"/>
    <w:family w:val="modern"/>
    <w:pitch w:val="fixed"/>
    <w:sig w:usb0="800002BF" w:usb1="38CF7CFA" w:usb2="00000016" w:usb3="00000000" w:csb0="00040001" w:csb1="00000000"/>
  </w:font>
  <w:font w:name="Songti SC Regular">
    <w:altName w:val="Songti SC"/>
    <w:panose1 w:val="02010600040101010101"/>
    <w:charset w:val="86"/>
    <w:family w:val="auto"/>
    <w:pitch w:val="variable"/>
    <w:sig w:usb0="00000287" w:usb1="080F0000" w:usb2="00000010" w:usb3="00000000" w:csb0="0004009F" w:csb1="00000000"/>
  </w:font>
  <w:font w:name="Heiti SC Medium">
    <w:altName w:val="HEITI SC MEDIUM"/>
    <w:panose1 w:val="00000000000000000000"/>
    <w:charset w:val="80"/>
    <w:family w:val="auto"/>
    <w:pitch w:val="variable"/>
    <w:sig w:usb0="8000002F" w:usb1="0807004A" w:usb2="00000010" w:usb3="00000000" w:csb0="003E0001" w:csb1="00000000"/>
  </w:font>
  <w:font w:name="Heiti SC Light">
    <w:altName w:val="HEITI SC LIGHT"/>
    <w:panose1 w:val="02000000000000000000"/>
    <w:charset w:val="80"/>
    <w:family w:val="auto"/>
    <w:pitch w:val="variable"/>
    <w:sig w:usb0="8000002F" w:usb1="0807004A" w:usb2="00000010" w:usb3="00000000" w:csb0="003E0001" w:csb1="00000000"/>
  </w:font>
  <w:font w:name="Times New Roman Regular">
    <w:altName w:val="Times New Roman"/>
    <w:panose1 w:val="020B0604020202020204"/>
    <w:charset w:val="00"/>
    <w:family w:val="auto"/>
    <w:pitch w:val="default"/>
    <w:sig w:usb0="E0000AFF" w:usb1="00007843" w:usb2="00000001" w:usb3="00000000" w:csb0="400001BF" w:csb1="DFF70000"/>
  </w:font>
  <w:font w:name="Arial Bold">
    <w:altName w:val="Arial"/>
    <w:panose1 w:val="020B0604020202020204"/>
    <w:charset w:val="00"/>
    <w:family w:val="auto"/>
    <w:pitch w:val="default"/>
    <w:sig w:usb0="E0000AFF" w:usb1="00007843" w:usb2="00000001" w:usb3="00000000" w:csb0="400001BF" w:csb1="DFF70000"/>
  </w:font>
  <w:font w:name="Arial Regular">
    <w:altName w:val="Arial"/>
    <w:panose1 w:val="020B0604020202020204"/>
    <w:charset w:val="00"/>
    <w:family w:val="auto"/>
    <w:pitch w:val="default"/>
    <w:sig w:usb0="E0000AFF" w:usb1="00007843" w:usb2="00000001" w:usb3="00000000" w:csb0="400001BF" w:csb1="DFF70000"/>
  </w:font>
  <w:font w:name="Bahnschrif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A638D" w14:textId="77777777" w:rsidR="004F5AFF" w:rsidRDefault="004F5AFF">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234D8" w14:textId="77777777" w:rsidR="004F5AFF" w:rsidRDefault="00000000">
    <w:pPr>
      <w:pStyle w:val="a3"/>
      <w:rPr>
        <w:rFonts w:ascii="Times New Roman Bold" w:hAnsi="Times New Roman Bold" w:cs="Times New Roman Bold"/>
        <w:b/>
        <w:bCs/>
        <w:color w:val="EE0000"/>
        <w:szCs w:val="18"/>
      </w:rPr>
    </w:pPr>
    <w:r>
      <w:rPr>
        <w:rFonts w:cs="Times New Roman"/>
        <w:b/>
        <w:bCs/>
        <w:sz w:val="16"/>
        <w:szCs w:val="16"/>
      </w:rPr>
      <w:t>C</w:t>
    </w:r>
    <w:r>
      <w:rPr>
        <w:rFonts w:ascii="Times New Roman Bold" w:hAnsi="Times New Roman Bold" w:cs="Times New Roman Bold"/>
        <w:b/>
        <w:bCs/>
        <w:sz w:val="16"/>
        <w:szCs w:val="16"/>
      </w:rPr>
      <w:t>itati</w:t>
    </w:r>
    <w:r>
      <w:rPr>
        <w:rFonts w:cs="Times New Roman"/>
        <w:b/>
        <w:bCs/>
        <w:sz w:val="16"/>
        <w:szCs w:val="16"/>
      </w:rPr>
      <w:t>on</w:t>
    </w:r>
    <w:r>
      <w:rPr>
        <w:rFonts w:eastAsia="微软雅黑" w:cs="Times New Roman"/>
        <w:b/>
        <w:bCs/>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6C0E3" w14:textId="77777777" w:rsidR="0099357B" w:rsidRDefault="0099357B">
      <w:r>
        <w:separator/>
      </w:r>
    </w:p>
  </w:footnote>
  <w:footnote w:type="continuationSeparator" w:id="0">
    <w:p w14:paraId="1F0FE1DC" w14:textId="77777777" w:rsidR="0099357B" w:rsidRDefault="009935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820E7" w14:textId="77777777" w:rsidR="004F5AFF" w:rsidRDefault="004F5AFF">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3B7AB" w14:textId="77777777" w:rsidR="004F5AFF" w:rsidRDefault="00000000">
    <w:r>
      <w:rPr>
        <w:noProof/>
      </w:rPr>
      <w:drawing>
        <wp:anchor distT="0" distB="0" distL="114300" distR="114300" simplePos="0" relativeHeight="251663360" behindDoc="1" locked="0" layoutInCell="1" allowOverlap="1" wp14:anchorId="5511DB91" wp14:editId="29213DF7">
          <wp:simplePos x="0" y="0"/>
          <wp:positionH relativeFrom="column">
            <wp:posOffset>-87630</wp:posOffset>
          </wp:positionH>
          <wp:positionV relativeFrom="paragraph">
            <wp:posOffset>19685</wp:posOffset>
          </wp:positionV>
          <wp:extent cx="943610" cy="1085850"/>
          <wp:effectExtent l="0" t="0" r="21590" b="6350"/>
          <wp:wrapTight wrapText="bothSides">
            <wp:wrapPolygon edited="0">
              <wp:start x="0" y="0"/>
              <wp:lineTo x="0" y="21221"/>
              <wp:lineTo x="20931" y="21221"/>
              <wp:lineTo x="20931" y="0"/>
              <wp:lineTo x="0" y="0"/>
            </wp:wrapPolygon>
          </wp:wrapTight>
          <wp:docPr id="85165239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652391" name="图片 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43610" cy="1085850"/>
                  </a:xfrm>
                  <a:prstGeom prst="rect">
                    <a:avLst/>
                  </a:prstGeom>
                </pic:spPr>
              </pic:pic>
            </a:graphicData>
          </a:graphic>
        </wp:anchor>
      </w:drawing>
    </w:r>
    <w:r>
      <w:rPr>
        <w:rFonts w:ascii="Arial Bold" w:hAnsi="Arial Bold" w:cs="Arial Bold"/>
        <w:b/>
        <w:bCs/>
        <w:noProof/>
        <w:sz w:val="28"/>
        <w:szCs w:val="28"/>
      </w:rPr>
      <mc:AlternateContent>
        <mc:Choice Requires="wps">
          <w:drawing>
            <wp:anchor distT="0" distB="0" distL="114300" distR="114300" simplePos="0" relativeHeight="251662336" behindDoc="1" locked="0" layoutInCell="1" allowOverlap="1" wp14:anchorId="7B5302F8" wp14:editId="3AA5E6EB">
              <wp:simplePos x="0" y="0"/>
              <wp:positionH relativeFrom="column">
                <wp:posOffset>852170</wp:posOffset>
              </wp:positionH>
              <wp:positionV relativeFrom="paragraph">
                <wp:posOffset>95250</wp:posOffset>
              </wp:positionV>
              <wp:extent cx="4354195" cy="961390"/>
              <wp:effectExtent l="0" t="0" r="14605" b="3810"/>
              <wp:wrapNone/>
              <wp:docPr id="1466485545" name="矩形 7"/>
              <wp:cNvGraphicFramePr/>
              <a:graphic xmlns:a="http://schemas.openxmlformats.org/drawingml/2006/main">
                <a:graphicData uri="http://schemas.microsoft.com/office/word/2010/wordprocessingShape">
                  <wps:wsp>
                    <wps:cNvSpPr/>
                    <wps:spPr>
                      <a:xfrm>
                        <a:off x="0" y="0"/>
                        <a:ext cx="4354282" cy="961200"/>
                      </a:xfrm>
                      <a:prstGeom prst="rect">
                        <a:avLst/>
                      </a:prstGeom>
                      <a:solidFill>
                        <a:schemeClr val="bg2">
                          <a:lumMod val="9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矩形 7" o:spid="_x0000_s1026" o:spt="1" style="position:absolute;left:0pt;margin-left:67.1pt;margin-top:7.5pt;height:75.7pt;width:342.85pt;z-index:-251654144;v-text-anchor:middle;mso-width-relative:page;mso-height-relative:page;" fillcolor="#D0CECE [2894]" filled="t" stroked="f" coordsize="21600,21600" o:gfxdata="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BYAAABkcnMvUEsBAhQAFAAA&#10;AAgAh07iQCQhEonaAAAACgEAAA8AAAAAAAAAAQAgAAAAOAAAAGRycy9kb3ducmV2LnhtbFBLAQIU&#10;ABQAAAAIAIdO4kCWHnS6hgIAAPYEAAAOAAAAAAAAAAEAIAAAAD8BAABkcnMvZTJvRG9jLnhtbFBL&#10;BQYAAAAABgAGAFkBAAA3BgAAAAA=&#10;">
              <v:fill on="t" focussize="0,0"/>
              <v:stroke on="f" weight="1pt" miterlimit="8" joinstyle="miter"/>
              <v:imagedata o:title=""/>
              <o:lock v:ext="edit" aspectratio="f"/>
            </v:rect>
          </w:pict>
        </mc:Fallback>
      </mc:AlternateContent>
    </w:r>
    <w:r>
      <w:rPr>
        <w:rFonts w:ascii="Arial Bold" w:hAnsi="Arial Bold" w:cs="Arial Bold"/>
        <w:b/>
        <w:bCs/>
        <w:noProof/>
        <w:sz w:val="28"/>
        <w:szCs w:val="28"/>
      </w:rPr>
      <w:drawing>
        <wp:anchor distT="0" distB="0" distL="114300" distR="114300" simplePos="0" relativeHeight="251661312" behindDoc="1" locked="0" layoutInCell="1" allowOverlap="1" wp14:anchorId="0998A4C2" wp14:editId="3FF562B8">
          <wp:simplePos x="0" y="0"/>
          <wp:positionH relativeFrom="column">
            <wp:posOffset>5321935</wp:posOffset>
          </wp:positionH>
          <wp:positionV relativeFrom="paragraph">
            <wp:posOffset>96520</wp:posOffset>
          </wp:positionV>
          <wp:extent cx="731520" cy="976630"/>
          <wp:effectExtent l="0" t="0" r="5080" b="13970"/>
          <wp:wrapTight wrapText="bothSides">
            <wp:wrapPolygon edited="0">
              <wp:start x="0" y="0"/>
              <wp:lineTo x="0" y="20785"/>
              <wp:lineTo x="21000" y="20785"/>
              <wp:lineTo x="21000" y="0"/>
              <wp:lineTo x="0" y="0"/>
            </wp:wrapPolygon>
          </wp:wrapTight>
          <wp:docPr id="767840915" name="图片 4" descr="/Users/liuyinian/Desktop/期刊/20260320/封面图片/自然与生命科学探索.001.jpeg自然与生命科学探索.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840915" name="图片 4" descr="/Users/liuyinian/Desktop/期刊/20260320/封面图片/自然与生命科学探索.001.jpeg自然与生命科学探索.001"/>
                  <pic:cNvPicPr>
                    <a:picLocks noChangeAspect="1"/>
                  </pic:cNvPicPr>
                </pic:nvPicPr>
                <pic:blipFill>
                  <a:blip r:embed="rId2"/>
                  <a:srcRect l="65" r="65"/>
                  <a:stretch>
                    <a:fillRect/>
                  </a:stretch>
                </pic:blipFill>
                <pic:spPr>
                  <a:xfrm>
                    <a:off x="0" y="0"/>
                    <a:ext cx="731520" cy="976630"/>
                  </a:xfrm>
                  <a:prstGeom prst="rect">
                    <a:avLst/>
                  </a:prstGeom>
                </pic:spPr>
              </pic:pic>
            </a:graphicData>
          </a:graphic>
        </wp:anchor>
      </w:drawing>
    </w:r>
  </w:p>
  <w:p w14:paraId="54CA1B53" w14:textId="77777777" w:rsidR="004F5AFF" w:rsidRDefault="004F5AFF">
    <w:pPr>
      <w:spacing w:line="300" w:lineRule="exact"/>
      <w:jc w:val="center"/>
      <w:rPr>
        <w:rFonts w:ascii="Arial Bold" w:hAnsi="Arial Bold" w:cs="Arial Bold"/>
        <w:b/>
        <w:bCs/>
        <w:sz w:val="28"/>
        <w:szCs w:val="28"/>
      </w:rPr>
    </w:pPr>
  </w:p>
  <w:p w14:paraId="688710D2" w14:textId="77777777" w:rsidR="004F5AFF" w:rsidRDefault="00000000">
    <w:pPr>
      <w:spacing w:line="300" w:lineRule="exact"/>
      <w:jc w:val="center"/>
      <w:rPr>
        <w:rFonts w:ascii="Arial Bold" w:hAnsi="Arial Bold" w:cs="Arial Bold"/>
        <w:b/>
        <w:bCs/>
        <w:sz w:val="28"/>
        <w:szCs w:val="28"/>
      </w:rPr>
    </w:pPr>
    <w:r>
      <w:rPr>
        <w:rFonts w:ascii="Arial Bold" w:hAnsi="Arial Bold" w:cs="Arial Bold" w:hint="eastAsia"/>
        <w:b/>
        <w:bCs/>
        <w:sz w:val="28"/>
        <w:szCs w:val="28"/>
      </w:rPr>
      <w:t>自然与生命科学探索</w:t>
    </w:r>
  </w:p>
  <w:p w14:paraId="209D480B" w14:textId="77777777" w:rsidR="004F5AFF" w:rsidRDefault="00000000">
    <w:pPr>
      <w:spacing w:line="300" w:lineRule="exact"/>
      <w:jc w:val="center"/>
      <w:rPr>
        <w:rFonts w:ascii="Arial Regular" w:eastAsia="Bahnschrift" w:hAnsi="Arial Regular" w:cs="Arial Regular"/>
        <w:smallCaps/>
        <w:color w:val="000000"/>
        <w:sz w:val="18"/>
        <w:szCs w:val="18"/>
      </w:rPr>
    </w:pPr>
    <w:r>
      <w:rPr>
        <w:rFonts w:ascii="Arial Regular" w:hAnsi="Arial Regular" w:cs="Arial Regular"/>
        <w:sz w:val="18"/>
        <w:szCs w:val="18"/>
      </w:rPr>
      <w:t>2026 Vol</w:t>
    </w:r>
    <w:r>
      <w:rPr>
        <w:rFonts w:ascii="微软雅黑" w:eastAsia="微软雅黑" w:hAnsi="微软雅黑" w:cs="微软雅黑"/>
        <w:sz w:val="18"/>
        <w:szCs w:val="18"/>
      </w:rPr>
      <w:t>. 1, No.1</w:t>
    </w:r>
  </w:p>
  <w:p w14:paraId="4CE19C39" w14:textId="77777777" w:rsidR="004F5AFF" w:rsidRDefault="00000000">
    <w:pPr>
      <w:pStyle w:val="a4"/>
    </w:pPr>
    <w:r>
      <w:rPr>
        <w:noProof/>
        <w:sz w:val="21"/>
      </w:rPr>
      <mc:AlternateContent>
        <mc:Choice Requires="wps">
          <w:drawing>
            <wp:anchor distT="0" distB="0" distL="114300" distR="114300" simplePos="0" relativeHeight="251660288" behindDoc="0" locked="0" layoutInCell="1" allowOverlap="1" wp14:anchorId="43D9082E" wp14:editId="781BB6A8">
              <wp:simplePos x="0" y="0"/>
              <wp:positionH relativeFrom="column">
                <wp:posOffset>-62865</wp:posOffset>
              </wp:positionH>
              <wp:positionV relativeFrom="page">
                <wp:posOffset>1669415</wp:posOffset>
              </wp:positionV>
              <wp:extent cx="6115685" cy="0"/>
              <wp:effectExtent l="6350" t="6350" r="6350" b="6350"/>
              <wp:wrapNone/>
              <wp:docPr id="3" name="直接连接符 3"/>
              <wp:cNvGraphicFramePr/>
              <a:graphic xmlns:a="http://schemas.openxmlformats.org/drawingml/2006/main">
                <a:graphicData uri="http://schemas.microsoft.com/office/word/2010/wordprocessingShape">
                  <wps:wsp>
                    <wps:cNvCnPr/>
                    <wps:spPr>
                      <a:xfrm>
                        <a:off x="0" y="0"/>
                        <a:ext cx="6115685" cy="0"/>
                      </a:xfrm>
                      <a:prstGeom prst="line">
                        <a:avLst/>
                      </a:prstGeom>
                      <a:ln w="6350" cap="rnd">
                        <a:solidFill>
                          <a:prstClr val="black"/>
                        </a:solidFill>
                        <a:round/>
                        <a:headEnd type="none" w="med" len="med"/>
                        <a:tailEnd type="none" w="med" len="med"/>
                      </a:ln>
                    </wps:spPr>
                    <wps:style>
                      <a:lnRef idx="0">
                        <a:srgbClr val="FFFFFF"/>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4.95pt;margin-top:131.45pt;height:0pt;width:481.55pt;mso-position-vertical-relative:page;z-index:251660288;mso-width-relative:page;mso-height-relative:page;" filled="f" stroked="t" coordsize="21600,21600" o:gfxdata="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70kZMdkAAAAKAQAADwAAAAAAAAABACAAAAA4AAAAZHJzL2Rvd25yZXYu&#10;eG1sUEsBAhQAFAAAAAgAh07iQH6aMWvkAQAAxwMAAA4AAAAAAAAAAQAgAAAAPgEAAGRycy9lMm9E&#10;b2MueG1sUEsFBgAAAAAGAAYAWQEAAJQFAAAAAA==&#10;">
              <v:fill on="f" focussize="0,0"/>
              <v:stroke weight="0.5pt" color="#000000" joinstyle="round" endcap="round"/>
              <v:imagedata o:title=""/>
              <o:lock v:ext="edit" aspectratio="f"/>
            </v:line>
          </w:pict>
        </mc:Fallback>
      </mc:AlternateContent>
    </w:r>
    <w:r>
      <w:rPr>
        <w:noProof/>
        <w:sz w:val="21"/>
      </w:rPr>
      <mc:AlternateContent>
        <mc:Choice Requires="wps">
          <w:drawing>
            <wp:anchor distT="0" distB="0" distL="114300" distR="114300" simplePos="0" relativeHeight="251659264" behindDoc="0" locked="0" layoutInCell="1" allowOverlap="1" wp14:anchorId="5A3B4517" wp14:editId="2ED65926">
              <wp:simplePos x="0" y="0"/>
              <wp:positionH relativeFrom="column">
                <wp:posOffset>-62865</wp:posOffset>
              </wp:positionH>
              <wp:positionV relativeFrom="page">
                <wp:posOffset>560070</wp:posOffset>
              </wp:positionV>
              <wp:extent cx="6115685" cy="0"/>
              <wp:effectExtent l="10795" t="10795" r="11430" b="11430"/>
              <wp:wrapNone/>
              <wp:docPr id="1" name="直接连接符 1"/>
              <wp:cNvGraphicFramePr/>
              <a:graphic xmlns:a="http://schemas.openxmlformats.org/drawingml/2006/main">
                <a:graphicData uri="http://schemas.microsoft.com/office/word/2010/wordprocessingShape">
                  <wps:wsp>
                    <wps:cNvCnPr/>
                    <wps:spPr>
                      <a:xfrm>
                        <a:off x="0" y="0"/>
                        <a:ext cx="6115685" cy="0"/>
                      </a:xfrm>
                      <a:prstGeom prst="line">
                        <a:avLst/>
                      </a:prstGeom>
                      <a:ln w="22225" cap="rnd">
                        <a:solidFill>
                          <a:prstClr val="black"/>
                        </a:solidFill>
                        <a:round/>
                        <a:headEnd type="none" w="med" len="med"/>
                        <a:tailEnd type="none" w="med" len="med"/>
                      </a:ln>
                    </wps:spPr>
                    <wps:style>
                      <a:lnRef idx="0">
                        <a:srgbClr val="FFFFFF"/>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4.95pt;margin-top:44.1pt;height:0pt;width:481.55pt;mso-position-vertical-relative:page;z-index:251659264;mso-width-relative:page;mso-height-relative:page;" filled="f" stroked="t" coordsize="21600,21600" o:gfxdata="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BYAAABkcnMvUEsBAhQA&#10;FAAAAAgAh07iQHoCFQ/VAAAACAEAAA8AAAAAAAAAAQAgAAAAOAAAAGRycy9kb3ducmV2LnhtbFBL&#10;AQIUABQAAAAIAIdO4kBiZcOM4wEAAMgDAAAOAAAAAAAAAAEAIAAAADoBAABkcnMvZTJvRG9jLnht&#10;bFBLBQYAAAAABgAGAFkBAACPBQAAAAA=&#10;">
              <v:fill on="f" focussize="0,0"/>
              <v:stroke weight="1.75pt" color="#000000" joinstyle="round" endcap="round"/>
              <v:imagedata o:title=""/>
              <o:lock v:ext="edit" aspectratio="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CC1F4F"/>
    <w:multiLevelType w:val="multilevel"/>
    <w:tmpl w:val="35CC1F4F"/>
    <w:lvl w:ilvl="0">
      <w:start w:val="1"/>
      <w:numFmt w:val="decimal"/>
      <w:pStyle w:val="ReferenceList"/>
      <w:lvlText w:val="[%1]"/>
      <w:lvlJc w:val="left"/>
      <w:pPr>
        <w:tabs>
          <w:tab w:val="left" w:pos="454"/>
        </w:tabs>
        <w:ind w:left="454" w:hanging="454"/>
      </w:pPr>
      <w:rPr>
        <w:rFonts w:ascii="Times New Roman" w:hAnsi="Times New Roman" w:cs="Times New Roman"/>
        <w:b w:val="0"/>
        <w:i/>
        <w:caps w:val="0"/>
        <w:smallCaps w:val="0"/>
        <w:strike w:val="0"/>
        <w:dstrike w:val="0"/>
        <w:snapToGrid w:val="0"/>
        <w:vanish w:val="0"/>
        <w:color w:val="000000"/>
        <w:spacing w:val="0"/>
        <w:w w:val="100"/>
        <w:kern w:val="0"/>
        <w:position w:val="0"/>
        <w:sz w:val="20"/>
        <w:u w:val="none"/>
        <w:vertAlign w:val="baseline"/>
        <w14:ligatures w14:val="none"/>
        <w14:numForm w14:val="default"/>
        <w14:numSpacing w14:val="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326446593">
    <w:abstractNumId w:val="0"/>
    <w:lvlOverride w:ilvl="0">
      <w:lvl w:ilvl="0" w:tentative="1">
        <w:start w:val="1"/>
        <w:numFmt w:val="decimal"/>
        <w:pStyle w:val="ReferenceList"/>
        <w:lvlText w:val="[%1]"/>
        <w:lvlJc w:val="left"/>
        <w:pPr>
          <w:tabs>
            <w:tab w:val="left" w:pos="454"/>
          </w:tabs>
          <w:ind w:left="454" w:hanging="454"/>
        </w:pPr>
        <w:rPr>
          <w:rFonts w:ascii="Times New Roman" w:hAnsi="Times New Roman" w:cs="Times New Roman"/>
          <w:b w:val="0"/>
          <w:i/>
          <w:caps w:val="0"/>
          <w:smallCaps w:val="0"/>
          <w:strike w:val="0"/>
          <w:dstrike w:val="0"/>
          <w:snapToGrid w:val="0"/>
          <w:vanish w:val="0"/>
          <w:color w:val="000000"/>
          <w:spacing w:val="0"/>
          <w:w w:val="100"/>
          <w:kern w:val="0"/>
          <w:position w:val="0"/>
          <w:sz w:val="20"/>
          <w:u w:val="none"/>
          <w:vertAlign w:val="baseline"/>
          <w14:ligatures w14:val="none"/>
          <w14:numForm w14:val="default"/>
          <w14:numSpacing w14:val="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FBFB64BA"/>
    <w:rsid w:val="001F06B9"/>
    <w:rsid w:val="002D1D8D"/>
    <w:rsid w:val="004F5AFF"/>
    <w:rsid w:val="006C4E9A"/>
    <w:rsid w:val="00840E57"/>
    <w:rsid w:val="008D2971"/>
    <w:rsid w:val="0099357B"/>
    <w:rsid w:val="00A33CDF"/>
    <w:rsid w:val="00CB7BF1"/>
    <w:rsid w:val="07932D1A"/>
    <w:rsid w:val="0FEF1A0C"/>
    <w:rsid w:val="1D3FBA3D"/>
    <w:rsid w:val="1EF500CB"/>
    <w:rsid w:val="25FFF9BA"/>
    <w:rsid w:val="2F7F5239"/>
    <w:rsid w:val="36FFA850"/>
    <w:rsid w:val="37BBD8CF"/>
    <w:rsid w:val="3CDBD7E2"/>
    <w:rsid w:val="5BF99B6A"/>
    <w:rsid w:val="5D3E1CF9"/>
    <w:rsid w:val="63FF1276"/>
    <w:rsid w:val="65EFFA90"/>
    <w:rsid w:val="6BCE13D6"/>
    <w:rsid w:val="6DFBA6B3"/>
    <w:rsid w:val="6E5ACB68"/>
    <w:rsid w:val="6EF746DF"/>
    <w:rsid w:val="6FFF2BDE"/>
    <w:rsid w:val="6FFF4DAC"/>
    <w:rsid w:val="7067ED24"/>
    <w:rsid w:val="70FE3161"/>
    <w:rsid w:val="73FB62E0"/>
    <w:rsid w:val="777D90FA"/>
    <w:rsid w:val="77DF5DB6"/>
    <w:rsid w:val="7ACBF71A"/>
    <w:rsid w:val="7BDFE9DA"/>
    <w:rsid w:val="7BEFB2E1"/>
    <w:rsid w:val="7BF79E9D"/>
    <w:rsid w:val="7BF84451"/>
    <w:rsid w:val="7BFE5BCA"/>
    <w:rsid w:val="7D7EB6D7"/>
    <w:rsid w:val="7EFC9753"/>
    <w:rsid w:val="7F3B6FDE"/>
    <w:rsid w:val="7F79930D"/>
    <w:rsid w:val="7FA40F30"/>
    <w:rsid w:val="7FC604A9"/>
    <w:rsid w:val="7FEB5819"/>
    <w:rsid w:val="7FEE1117"/>
    <w:rsid w:val="7FFF27DC"/>
    <w:rsid w:val="7FFFF9A3"/>
    <w:rsid w:val="9FF7EF87"/>
    <w:rsid w:val="AB944322"/>
    <w:rsid w:val="AFAFA382"/>
    <w:rsid w:val="B07DCD42"/>
    <w:rsid w:val="B91FEC8F"/>
    <w:rsid w:val="BBBF22D4"/>
    <w:rsid w:val="BDEFE631"/>
    <w:rsid w:val="BDFD2BF0"/>
    <w:rsid w:val="BEBB03B2"/>
    <w:rsid w:val="BF5F9896"/>
    <w:rsid w:val="BFBB0C55"/>
    <w:rsid w:val="BFD307EA"/>
    <w:rsid w:val="BFF9282D"/>
    <w:rsid w:val="C0FFD7FB"/>
    <w:rsid w:val="CDF71D26"/>
    <w:rsid w:val="CFE3BB63"/>
    <w:rsid w:val="D3733AD2"/>
    <w:rsid w:val="D99C089A"/>
    <w:rsid w:val="DC3FC214"/>
    <w:rsid w:val="DCFF57FC"/>
    <w:rsid w:val="DF6AD702"/>
    <w:rsid w:val="DFB7325A"/>
    <w:rsid w:val="EDBBAFB1"/>
    <w:rsid w:val="EDFFAE2E"/>
    <w:rsid w:val="EFED40E2"/>
    <w:rsid w:val="EFEFA618"/>
    <w:rsid w:val="EFEFDAA6"/>
    <w:rsid w:val="F49D2C55"/>
    <w:rsid w:val="F59B56A3"/>
    <w:rsid w:val="F5BD9A37"/>
    <w:rsid w:val="FB8EBC52"/>
    <w:rsid w:val="FBF79B4D"/>
    <w:rsid w:val="FBFB64BA"/>
    <w:rsid w:val="FCFDCDEC"/>
    <w:rsid w:val="FDF4B8A1"/>
    <w:rsid w:val="FE58E875"/>
    <w:rsid w:val="FEFFE012"/>
    <w:rsid w:val="FFDB516F"/>
    <w:rsid w:val="FFFE85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1E654D0A"/>
  <w15:docId w15:val="{E947DEE3-A587-124A-8A57-2956E8C3A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t" w:cstheme="minorBidi"/>
      <w:kern w:val="2"/>
      <w:sz w:val="21"/>
      <w:szCs w:val="24"/>
    </w:rPr>
  </w:style>
  <w:style w:type="paragraph" w:styleId="1">
    <w:name w:val="heading 1"/>
    <w:basedOn w:val="a"/>
    <w:next w:val="a"/>
    <w:qFormat/>
    <w:pPr>
      <w:keepNext/>
      <w:keepLines/>
      <w:spacing w:before="340" w:after="330" w:line="576" w:lineRule="auto"/>
      <w:jc w:val="left"/>
      <w:outlineLvl w:val="0"/>
    </w:pPr>
    <w:rPr>
      <w:rFonts w:eastAsia="黑体"/>
      <w:kern w:val="44"/>
      <w:sz w:val="28"/>
    </w:rPr>
  </w:style>
  <w:style w:type="paragraph" w:styleId="2">
    <w:name w:val="heading 2"/>
    <w:basedOn w:val="a"/>
    <w:next w:val="a"/>
    <w:unhideWhenUsed/>
    <w:qFormat/>
    <w:pPr>
      <w:keepNext/>
      <w:keepLines/>
      <w:spacing w:before="260" w:after="260" w:line="413" w:lineRule="auto"/>
      <w:jc w:val="left"/>
      <w:outlineLvl w:val="1"/>
    </w:pPr>
    <w:rPr>
      <w:rFonts w:ascii="Arial" w:eastAsia="黑体" w:hAnsi="Arial"/>
    </w:rPr>
  </w:style>
  <w:style w:type="paragraph" w:styleId="4">
    <w:name w:val="heading 4"/>
    <w:basedOn w:val="a"/>
    <w:next w:val="a"/>
    <w:semiHidden/>
    <w:unhideWhenUsed/>
    <w:qFormat/>
    <w:pPr>
      <w:spacing w:beforeAutospacing="1" w:afterAutospacing="1"/>
      <w:jc w:val="left"/>
      <w:outlineLvl w:val="3"/>
    </w:pPr>
    <w:rPr>
      <w:rFonts w:ascii="宋体" w:eastAsia="宋体" w:hAnsi="宋体" w:cs="Times New Roman" w:hint="eastAsia"/>
      <w:b/>
      <w:bCs/>
      <w:kern w:val="0"/>
      <w:sz w:val="24"/>
    </w:rPr>
  </w:style>
  <w:style w:type="paragraph" w:styleId="5">
    <w:name w:val="heading 5"/>
    <w:basedOn w:val="a"/>
    <w:next w:val="a"/>
    <w:semiHidden/>
    <w:unhideWhenUsed/>
    <w:qFormat/>
    <w:pPr>
      <w:spacing w:beforeAutospacing="1" w:afterAutospacing="1"/>
      <w:jc w:val="left"/>
      <w:outlineLvl w:val="4"/>
    </w:pPr>
    <w:rPr>
      <w:rFonts w:ascii="宋体" w:eastAsia="宋体" w:hAnsi="宋体" w:cs="Times New Roman" w:hint="eastAsia"/>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rPr>
  </w:style>
  <w:style w:type="paragraph" w:styleId="a5">
    <w:name w:val="Normal (Web)"/>
    <w:basedOn w:val="a"/>
    <w:uiPriority w:val="99"/>
    <w:qFormat/>
    <w:pPr>
      <w:spacing w:beforeAutospacing="1" w:afterAutospacing="1"/>
      <w:jc w:val="left"/>
    </w:pPr>
    <w:rPr>
      <w:rFonts w:cs="Times New Roman"/>
      <w:kern w:val="0"/>
      <w:sz w:val="24"/>
    </w:rPr>
  </w:style>
  <w:style w:type="table" w:styleId="a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Emphasis"/>
    <w:basedOn w:val="a0"/>
    <w:qFormat/>
    <w:rPr>
      <w:i/>
    </w:rPr>
  </w:style>
  <w:style w:type="character" w:styleId="a8">
    <w:name w:val="Hyperlink"/>
    <w:basedOn w:val="a0"/>
    <w:qFormat/>
    <w:rPr>
      <w:color w:val="0000FF"/>
      <w:u w:val="single"/>
    </w:rPr>
  </w:style>
  <w:style w:type="paragraph" w:styleId="a9">
    <w:name w:val="List Paragraph"/>
    <w:basedOn w:val="a"/>
    <w:uiPriority w:val="34"/>
    <w:qFormat/>
    <w:pPr>
      <w:ind w:left="720"/>
      <w:contextualSpacing/>
    </w:pPr>
    <w:rPr>
      <w:sz w:val="26"/>
    </w:rPr>
  </w:style>
  <w:style w:type="paragraph" w:customStyle="1" w:styleId="ReferenceList">
    <w:name w:val="Reference List"/>
    <w:uiPriority w:val="17"/>
    <w:qFormat/>
    <w:pPr>
      <w:numPr>
        <w:numId w:val="1"/>
      </w:numPr>
      <w:suppressAutoHyphens/>
      <w:adjustRightInd w:val="0"/>
      <w:snapToGrid w:val="0"/>
      <w:jc w:val="both"/>
    </w:pPr>
    <w:rPr>
      <w:rFonts w:eastAsia="Times New Roman"/>
      <w:i/>
      <w:snapToGrid w:val="0"/>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14</Pages>
  <Words>5138</Words>
  <Characters>6526</Characters>
  <Application>Microsoft Office Word</Application>
  <DocSecurity>0</DocSecurity>
  <Lines>191</Lines>
  <Paragraphs>95</Paragraphs>
  <ScaleCrop>false</ScaleCrop>
  <Company/>
  <LinksUpToDate>false</LinksUpToDate>
  <CharactersWithSpaces>11569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青少年小新</dc:creator>
  <cp:lastModifiedBy>Jay</cp:lastModifiedBy>
  <cp:revision>3</cp:revision>
  <dcterms:created xsi:type="dcterms:W3CDTF">2026-03-26T09:06:00Z</dcterms:created>
  <dcterms:modified xsi:type="dcterms:W3CDTF">2026-04-15T02:22:00Z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78633E6A68A0A3611A2DBC690E7452D6_41</vt:lpwstr>
  </property>
</Properties>
</file>