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67E9" w14:textId="77777777" w:rsidR="00BF60AD" w:rsidRPr="005806C1" w:rsidRDefault="00BF60AD" w:rsidP="005806C1">
      <w:pPr>
        <w:spacing w:after="120" w:line="360" w:lineRule="auto"/>
        <w:jc w:val="center"/>
        <w:rPr>
          <w:rFonts w:eastAsia="宋体" w:cs="Times New Roman"/>
          <w:b/>
          <w:bCs/>
          <w:iCs/>
          <w:sz w:val="24"/>
        </w:rPr>
      </w:pPr>
      <w:r w:rsidRPr="005806C1">
        <w:rPr>
          <w:rFonts w:eastAsia="宋体" w:cs="Times New Roman"/>
          <w:b/>
          <w:bCs/>
          <w:iCs/>
          <w:sz w:val="24"/>
        </w:rPr>
        <w:t>Breaking Through with Quality: How Innovation Reshapes the International Competitiveness of China's New Energy Vehicles</w:t>
      </w:r>
    </w:p>
    <w:p w14:paraId="5DC2BBFD" w14:textId="0E79A15A" w:rsidR="00F5337C" w:rsidRPr="005806C1" w:rsidRDefault="005806C1" w:rsidP="005806C1">
      <w:pPr>
        <w:spacing w:line="360" w:lineRule="auto"/>
        <w:jc w:val="center"/>
        <w:rPr>
          <w:sz w:val="24"/>
        </w:rPr>
      </w:pPr>
      <w:r w:rsidRPr="005806C1">
        <w:rPr>
          <w:rFonts w:hint="eastAsia"/>
          <w:sz w:val="24"/>
        </w:rPr>
        <w:t xml:space="preserve">Li </w:t>
      </w:r>
      <w:proofErr w:type="spellStart"/>
      <w:r w:rsidRPr="005806C1">
        <w:rPr>
          <w:rFonts w:hint="eastAsia"/>
          <w:sz w:val="24"/>
        </w:rPr>
        <w:t>Hehua</w:t>
      </w:r>
      <w:proofErr w:type="spellEnd"/>
    </w:p>
    <w:p w14:paraId="0478B2E9" w14:textId="16E9DB95" w:rsidR="005806C1" w:rsidRPr="005806C1" w:rsidRDefault="005806C1" w:rsidP="005806C1">
      <w:pPr>
        <w:spacing w:line="360" w:lineRule="auto"/>
        <w:jc w:val="center"/>
        <w:rPr>
          <w:sz w:val="24"/>
        </w:rPr>
      </w:pPr>
      <w:r w:rsidRPr="005806C1">
        <w:rPr>
          <w:rFonts w:hint="eastAsia"/>
          <w:sz w:val="24"/>
        </w:rPr>
        <w:t xml:space="preserve">He </w:t>
      </w:r>
      <w:proofErr w:type="spellStart"/>
      <w:r w:rsidRPr="005806C1">
        <w:rPr>
          <w:rFonts w:hint="eastAsia"/>
          <w:sz w:val="24"/>
        </w:rPr>
        <w:t>Hongying</w:t>
      </w:r>
      <w:proofErr w:type="spellEnd"/>
      <w:r w:rsidRPr="005806C1">
        <w:rPr>
          <w:rFonts w:hint="eastAsia"/>
          <w:sz w:val="24"/>
        </w:rPr>
        <w:t>*</w:t>
      </w:r>
    </w:p>
    <w:p w14:paraId="615A236D" w14:textId="4678763F" w:rsidR="005806C1" w:rsidRPr="005806C1" w:rsidRDefault="005806C1" w:rsidP="005806C1">
      <w:pPr>
        <w:spacing w:line="360" w:lineRule="auto"/>
        <w:jc w:val="center"/>
        <w:rPr>
          <w:rFonts w:ascii="微软雅黑" w:eastAsia="微软雅黑" w:hAnsi="微软雅黑" w:cs="微软雅黑"/>
          <w:sz w:val="24"/>
        </w:rPr>
      </w:pPr>
      <w:r w:rsidRPr="005806C1">
        <w:rPr>
          <w:rFonts w:hint="eastAsia"/>
          <w:sz w:val="24"/>
        </w:rPr>
        <w:t>Shanghai Polytechnic University, Shanghai, China</w:t>
      </w:r>
    </w:p>
    <w:p w14:paraId="0EB6BBD5" w14:textId="0AEE9902" w:rsidR="005806C1" w:rsidRPr="005806C1" w:rsidRDefault="005806C1" w:rsidP="005806C1">
      <w:pPr>
        <w:spacing w:line="360" w:lineRule="auto"/>
        <w:jc w:val="center"/>
        <w:rPr>
          <w:rFonts w:ascii="微软雅黑" w:eastAsia="微软雅黑" w:hAnsi="微软雅黑" w:cs="微软雅黑" w:hint="eastAsia"/>
          <w:sz w:val="24"/>
        </w:rPr>
      </w:pPr>
      <w:r w:rsidRPr="005806C1">
        <w:rPr>
          <w:sz w:val="24"/>
        </w:rPr>
        <w:t>Joanna449@163.com</w:t>
      </w:r>
      <w:r w:rsidRPr="005806C1">
        <w:rPr>
          <w:rFonts w:hint="eastAsia"/>
          <w:sz w:val="24"/>
        </w:rPr>
        <w:t>m</w:t>
      </w:r>
    </w:p>
    <w:p w14:paraId="1CAC21BE" w14:textId="77777777" w:rsidR="00BF60AD" w:rsidRPr="00BF60AD" w:rsidRDefault="00BF60AD" w:rsidP="00BF60AD">
      <w:pPr>
        <w:spacing w:line="360" w:lineRule="auto"/>
        <w:rPr>
          <w:rFonts w:cs="Times New Roman"/>
          <w:sz w:val="24"/>
        </w:rPr>
      </w:pPr>
    </w:p>
    <w:p w14:paraId="4143BE42" w14:textId="77777777" w:rsidR="00BF60AD" w:rsidRPr="00BF60AD" w:rsidRDefault="00BF60AD" w:rsidP="00BF60AD">
      <w:pPr>
        <w:pStyle w:val="ae"/>
        <w:spacing w:line="360" w:lineRule="auto"/>
        <w:rPr>
          <w:rFonts w:cs="Times New Roman"/>
          <w:b/>
          <w:bCs/>
          <w:sz w:val="24"/>
        </w:rPr>
      </w:pPr>
      <w:r w:rsidRPr="00BF60AD">
        <w:rPr>
          <w:rFonts w:cs="Times New Roman"/>
          <w:b/>
          <w:bCs/>
          <w:sz w:val="24"/>
        </w:rPr>
        <w:t>ABSTRACT</w:t>
      </w:r>
    </w:p>
    <w:p w14:paraId="5EE6B068" w14:textId="77777777" w:rsidR="00BF60AD" w:rsidRPr="00BF60AD" w:rsidRDefault="00BF60AD" w:rsidP="00BF60AD">
      <w:pPr>
        <w:spacing w:after="120" w:line="360" w:lineRule="auto"/>
        <w:rPr>
          <w:rFonts w:eastAsia="宋体" w:cs="Times New Roman"/>
          <w:i/>
          <w:sz w:val="24"/>
        </w:rPr>
      </w:pPr>
      <w:r w:rsidRPr="00BF60AD">
        <w:rPr>
          <w:rFonts w:cs="Times New Roman"/>
          <w:bCs/>
          <w:iCs/>
          <w:sz w:val="24"/>
        </w:rPr>
        <w:t>This study investigates the impact of technological innovation quality on the "volume-price rise" of China's new energy vehicle (NEV) exports. Using monthly data from 2018 to 2024, we construct an innovation quality index - measured by the share of invention patents - and employ a Vector Autoregression (VAR) model for empirical analysis. The findings reveal that: (1)</w:t>
      </w:r>
      <w:r w:rsidRPr="00BF60AD">
        <w:rPr>
          <w:rFonts w:eastAsiaTheme="minorEastAsia" w:cs="Times New Roman"/>
          <w:bCs/>
          <w:iCs/>
          <w:sz w:val="24"/>
        </w:rPr>
        <w:t xml:space="preserve"> I</w:t>
      </w:r>
      <w:r w:rsidRPr="00BF60AD">
        <w:rPr>
          <w:rFonts w:cs="Times New Roman"/>
          <w:bCs/>
          <w:iCs/>
          <w:sz w:val="24"/>
        </w:rPr>
        <w:t>mprovements in innovation quality Granger-cause expansions in export scale and unit price, with impulse responses confirming lasting impacts; (2) The "quality" of innovation substantially outweighs the "quantity" (total patents) in driving export performance, with variance decomposition indicating its contribution is more than double; (3) Innovation quality primarily enhances export unit price through a "premium effect" rather than cost advantages. This research provides robust empirical evidence for latecomer economies to achieve industrial upgrading through quality-oriented innovation policies.</w:t>
      </w:r>
    </w:p>
    <w:p w14:paraId="530A7C18" w14:textId="77777777" w:rsidR="00BF60AD" w:rsidRPr="00BF60AD" w:rsidRDefault="00BF60AD" w:rsidP="00BF60AD">
      <w:pPr>
        <w:pStyle w:val="a9"/>
        <w:numPr>
          <w:ilvl w:val="0"/>
          <w:numId w:val="1"/>
        </w:numPr>
        <w:spacing w:line="360" w:lineRule="auto"/>
        <w:rPr>
          <w:rFonts w:eastAsia="Times New Roman" w:cs="Times New Roman"/>
          <w:b/>
          <w:sz w:val="24"/>
        </w:rPr>
      </w:pPr>
      <w:r w:rsidRPr="00BF60AD">
        <w:rPr>
          <w:rFonts w:eastAsia="Times New Roman" w:cs="Times New Roman"/>
          <w:b/>
          <w:sz w:val="24"/>
        </w:rPr>
        <w:t>Introduction</w:t>
      </w:r>
    </w:p>
    <w:p w14:paraId="5447774A" w14:textId="77777777" w:rsidR="00BF60AD" w:rsidRPr="00BF60AD" w:rsidRDefault="00BF60AD" w:rsidP="00BF60AD">
      <w:pPr>
        <w:spacing w:line="360" w:lineRule="auto"/>
        <w:ind w:firstLineChars="100" w:firstLine="240"/>
        <w:rPr>
          <w:rFonts w:eastAsiaTheme="minorEastAsia" w:cs="Times New Roman"/>
          <w:sz w:val="24"/>
        </w:rPr>
      </w:pPr>
      <w:r w:rsidRPr="00BF60AD">
        <w:rPr>
          <w:rFonts w:cs="Times New Roman"/>
          <w:sz w:val="24"/>
        </w:rPr>
        <w:t>The transition to a green, low-carbon economy elevates the new energy vehicle</w:t>
      </w:r>
      <w:r w:rsidRPr="00BF60AD">
        <w:rPr>
          <w:rFonts w:eastAsia="宋体" w:cs="Times New Roman"/>
          <w:sz w:val="24"/>
        </w:rPr>
        <w:t>（</w:t>
      </w:r>
      <w:r w:rsidRPr="00BF60AD">
        <w:rPr>
          <w:rFonts w:cs="Times New Roman"/>
          <w:sz w:val="24"/>
        </w:rPr>
        <w:t>NEV</w:t>
      </w:r>
      <w:r w:rsidRPr="00BF60AD">
        <w:rPr>
          <w:rFonts w:eastAsia="宋体" w:cs="Times New Roman"/>
          <w:sz w:val="24"/>
        </w:rPr>
        <w:t>）</w:t>
      </w:r>
      <w:r w:rsidRPr="00BF60AD">
        <w:rPr>
          <w:rFonts w:cs="Times New Roman"/>
          <w:sz w:val="24"/>
        </w:rPr>
        <w:t xml:space="preserve"> industry to a strategic pinnacle, significantly altering global manufacturing landscapes and labor divisions</w:t>
      </w:r>
      <w:r w:rsidRPr="00BF60AD">
        <w:rPr>
          <w:rFonts w:eastAsiaTheme="minorEastAsia" w:cs="Times New Roman"/>
          <w:sz w:val="24"/>
        </w:rPr>
        <w:t>.</w:t>
      </w:r>
      <w:r w:rsidRPr="00BF60AD">
        <w:rPr>
          <w:rFonts w:cs="Times New Roman"/>
          <w:sz w:val="24"/>
        </w:rPr>
        <w:t xml:space="preserve"> Within this context, the remarkable rise of China's NEV sector constitutes a compelling economic phenomenon. China's annual NEV exports skyrocketed from 147,000 units in 2018 to 2.239 million units in 2024, representing explosive growth.</w:t>
      </w:r>
    </w:p>
    <w:p w14:paraId="54B8322A" w14:textId="77777777" w:rsidR="00BF60AD" w:rsidRPr="00BF60AD" w:rsidRDefault="00BF60AD" w:rsidP="00BF60AD">
      <w:pPr>
        <w:spacing w:line="360" w:lineRule="auto"/>
        <w:ind w:firstLineChars="100" w:firstLine="240"/>
        <w:rPr>
          <w:rFonts w:eastAsiaTheme="minorEastAsia" w:cs="Times New Roman"/>
          <w:sz w:val="24"/>
        </w:rPr>
      </w:pPr>
    </w:p>
    <w:p w14:paraId="39695EC2"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heme="minorEastAsia" w:cs="Times New Roman"/>
          <w:noProof/>
          <w:sz w:val="24"/>
        </w:rPr>
        <w:lastRenderedPageBreak/>
        <w:drawing>
          <wp:inline distT="0" distB="0" distL="0" distR="0" wp14:anchorId="43C32FBC" wp14:editId="67E7D262">
            <wp:extent cx="4823765" cy="2686050"/>
            <wp:effectExtent l="0" t="0" r="0" b="0"/>
            <wp:docPr id="7"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AI 生成的内容可能不正确。"/>
                    <pic:cNvPicPr/>
                  </pic:nvPicPr>
                  <pic:blipFill>
                    <a:blip r:embed="rId5"/>
                    <a:stretch>
                      <a:fillRect/>
                    </a:stretch>
                  </pic:blipFill>
                  <pic:spPr>
                    <a:xfrm>
                      <a:off x="0" y="0"/>
                      <a:ext cx="4827928" cy="2688368"/>
                    </a:xfrm>
                    <a:prstGeom prst="rect">
                      <a:avLst/>
                    </a:prstGeom>
                  </pic:spPr>
                </pic:pic>
              </a:graphicData>
            </a:graphic>
          </wp:inline>
        </w:drawing>
      </w:r>
    </w:p>
    <w:p w14:paraId="1A6508BA" w14:textId="77777777" w:rsidR="00BF60AD" w:rsidRPr="00BF60AD" w:rsidRDefault="00BF60AD" w:rsidP="00BF60AD">
      <w:pPr>
        <w:spacing w:line="360" w:lineRule="auto"/>
        <w:rPr>
          <w:rFonts w:eastAsia="宋体" w:cs="Times New Roman"/>
          <w:i/>
          <w:sz w:val="24"/>
        </w:rPr>
      </w:pPr>
      <w:r w:rsidRPr="00BF60AD">
        <w:rPr>
          <w:rFonts w:eastAsia="Times New Roman" w:cs="Times New Roman"/>
          <w:i/>
          <w:sz w:val="24"/>
        </w:rPr>
        <w:t>Figure 1.1: China's NEV Export Volume and Value (2018-2024)</w:t>
      </w:r>
    </w:p>
    <w:p w14:paraId="310C8FA7" w14:textId="77777777" w:rsidR="00BF60AD" w:rsidRPr="00BF60AD" w:rsidRDefault="00BF60AD" w:rsidP="00BF60AD">
      <w:pPr>
        <w:spacing w:line="360" w:lineRule="auto"/>
        <w:ind w:firstLineChars="100" w:firstLine="240"/>
        <w:rPr>
          <w:rFonts w:eastAsiaTheme="minorEastAsia" w:cs="Times New Roman"/>
          <w:sz w:val="24"/>
        </w:rPr>
      </w:pPr>
    </w:p>
    <w:p w14:paraId="49EFC977"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heme="minorEastAsia" w:cs="Times New Roman"/>
          <w:sz w:val="24"/>
        </w:rPr>
        <w:t>Concurrent with this export surge is the optimization of the industry's innovation structure. Substantive innovations, particularly invention patents, show a steady increase, signifying a transition from quantitative growth to qualitative advancements in innovation. This structural shift raises a central economic question: For a latecomer economy, can and how does a quality-driven structural transformation within a specific strategic emerging industry reshape its dynamic comparative advantage in the global market, thereby achieving a "volume-price rise" in exports?</w:t>
      </w:r>
    </w:p>
    <w:p w14:paraId="0F10C53B" w14:textId="77777777" w:rsidR="00BF60AD" w:rsidRPr="00BF60AD" w:rsidRDefault="00BF60AD" w:rsidP="00BF60AD">
      <w:pPr>
        <w:spacing w:line="360" w:lineRule="auto"/>
        <w:ind w:firstLineChars="100" w:firstLine="240"/>
        <w:rPr>
          <w:rFonts w:eastAsiaTheme="minorEastAsia" w:cs="Times New Roman"/>
          <w:sz w:val="24"/>
        </w:rPr>
      </w:pPr>
    </w:p>
    <w:p w14:paraId="116B2A99"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heme="minorEastAsia" w:cs="Times New Roman"/>
          <w:noProof/>
          <w:sz w:val="24"/>
        </w:rPr>
        <w:drawing>
          <wp:inline distT="0" distB="0" distL="0" distR="0" wp14:anchorId="70FDCC4B" wp14:editId="437EE799">
            <wp:extent cx="4279900" cy="2917354"/>
            <wp:effectExtent l="0" t="0" r="6350" b="0"/>
            <wp:docPr id="8" name="图片 8"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表, 条形图&#10;&#10;AI 生成的内容可能不正确。"/>
                    <pic:cNvPicPr/>
                  </pic:nvPicPr>
                  <pic:blipFill>
                    <a:blip r:embed="rId6"/>
                    <a:stretch>
                      <a:fillRect/>
                    </a:stretch>
                  </pic:blipFill>
                  <pic:spPr>
                    <a:xfrm>
                      <a:off x="0" y="0"/>
                      <a:ext cx="4284557" cy="2920528"/>
                    </a:xfrm>
                    <a:prstGeom prst="rect">
                      <a:avLst/>
                    </a:prstGeom>
                  </pic:spPr>
                </pic:pic>
              </a:graphicData>
            </a:graphic>
          </wp:inline>
        </w:drawing>
      </w:r>
    </w:p>
    <w:p w14:paraId="574DF1F8" w14:textId="77777777" w:rsidR="00BF60AD" w:rsidRPr="00BF60AD" w:rsidRDefault="00BF60AD" w:rsidP="00BF60AD">
      <w:pPr>
        <w:spacing w:line="360" w:lineRule="auto"/>
        <w:rPr>
          <w:rFonts w:eastAsia="宋体" w:cs="Times New Roman"/>
          <w:i/>
          <w:sz w:val="24"/>
        </w:rPr>
      </w:pPr>
      <w:r w:rsidRPr="00BF60AD">
        <w:rPr>
          <w:rFonts w:eastAsia="Times New Roman" w:cs="Times New Roman"/>
          <w:i/>
          <w:sz w:val="24"/>
        </w:rPr>
        <w:lastRenderedPageBreak/>
        <w:t>Figure 1.</w:t>
      </w:r>
      <w:r w:rsidRPr="00BF60AD">
        <w:rPr>
          <w:rFonts w:eastAsiaTheme="minorEastAsia" w:cs="Times New Roman"/>
          <w:i/>
          <w:sz w:val="24"/>
        </w:rPr>
        <w:t>2</w:t>
      </w:r>
      <w:r w:rsidRPr="00BF60AD">
        <w:rPr>
          <w:rFonts w:eastAsia="Times New Roman" w:cs="Times New Roman"/>
          <w:i/>
          <w:sz w:val="24"/>
        </w:rPr>
        <w:t>: Average Monthly Patent Applications for NEVs in China (2018-2024)</w:t>
      </w:r>
    </w:p>
    <w:p w14:paraId="64488E62" w14:textId="77777777" w:rsidR="00BF60AD" w:rsidRPr="00BF60AD" w:rsidRDefault="00BF60AD" w:rsidP="00BF60AD">
      <w:pPr>
        <w:spacing w:line="360" w:lineRule="auto"/>
        <w:ind w:firstLineChars="100" w:firstLine="240"/>
        <w:rPr>
          <w:rFonts w:eastAsiaTheme="minorEastAsia" w:cs="Times New Roman"/>
          <w:sz w:val="24"/>
        </w:rPr>
      </w:pPr>
    </w:p>
    <w:p w14:paraId="4E8B36E4"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heme="minorEastAsia" w:cs="Times New Roman"/>
          <w:sz w:val="24"/>
        </w:rPr>
        <w:t>Although existing scholarship broadly acknowledges that technological innovation positively affects trade, most of these investigations conceptualize innovation as a monolithic entity, thereby neglecting an in-depth analysis of its qualitative dimensions. In addition, rigorous and systematic studies that investigate the dynamic causal connections between changes in the broader innovation framework and national export success remain scarce. This study, therefore, aims to address three key questions: First, what is the evolutionary path of the innovation structure in China's NEV industry? Second, which contributes more substantially and persistently to export expansion: the upgrading of innovation structure (quality) or the growth in innovation quantity? Third, what are the dynamic interactions among innovation, price, and export scale?</w:t>
      </w:r>
    </w:p>
    <w:p w14:paraId="4DC5BB3E" w14:textId="77777777" w:rsidR="00BF60AD" w:rsidRPr="00BF60AD" w:rsidRDefault="00BF60AD" w:rsidP="00BF60AD">
      <w:pPr>
        <w:spacing w:line="360" w:lineRule="auto"/>
        <w:rPr>
          <w:rFonts w:eastAsia="Times New Roman" w:cs="Times New Roman"/>
          <w:sz w:val="24"/>
        </w:rPr>
      </w:pPr>
    </w:p>
    <w:p w14:paraId="35AD2160" w14:textId="77777777" w:rsidR="00BF60AD" w:rsidRPr="00BF60AD" w:rsidRDefault="00BF60AD" w:rsidP="00BF60AD">
      <w:pPr>
        <w:pStyle w:val="a9"/>
        <w:numPr>
          <w:ilvl w:val="0"/>
          <w:numId w:val="1"/>
        </w:numPr>
        <w:spacing w:line="360" w:lineRule="auto"/>
        <w:rPr>
          <w:rFonts w:cs="Times New Roman"/>
          <w:b/>
          <w:kern w:val="32"/>
          <w:sz w:val="24"/>
        </w:rPr>
      </w:pPr>
      <w:r w:rsidRPr="00BF60AD">
        <w:rPr>
          <w:rFonts w:eastAsia="Times New Roman" w:cs="Times New Roman"/>
          <w:b/>
          <w:sz w:val="24"/>
        </w:rPr>
        <w:t>Literature Review</w:t>
      </w:r>
    </w:p>
    <w:p w14:paraId="4DE63046" w14:textId="77777777" w:rsidR="00BF60AD" w:rsidRPr="00BF60AD" w:rsidRDefault="00BF60AD" w:rsidP="00BF60AD">
      <w:pPr>
        <w:pStyle w:val="a9"/>
        <w:spacing w:line="360" w:lineRule="auto"/>
        <w:ind w:left="0"/>
        <w:rPr>
          <w:rFonts w:eastAsia="Times New Roman" w:cs="Times New Roman"/>
          <w:b/>
          <w:bCs/>
          <w:sz w:val="24"/>
        </w:rPr>
      </w:pPr>
      <w:r w:rsidRPr="00BF60AD">
        <w:rPr>
          <w:rFonts w:eastAsia="宋体" w:cs="Times New Roman"/>
          <w:b/>
          <w:bCs/>
          <w:sz w:val="24"/>
        </w:rPr>
        <w:t xml:space="preserve">2.1 </w:t>
      </w:r>
      <w:bookmarkStart w:id="0" w:name="_Hlk216791280"/>
      <w:r w:rsidRPr="00BF60AD">
        <w:rPr>
          <w:rFonts w:eastAsia="宋体" w:cs="Times New Roman"/>
          <w:b/>
          <w:bCs/>
          <w:sz w:val="24"/>
        </w:rPr>
        <w:t>Relationship between Enterprise Technological Innovation and Performance Output</w:t>
      </w:r>
      <w:bookmarkEnd w:id="0"/>
    </w:p>
    <w:p w14:paraId="12D6C373" w14:textId="77777777" w:rsidR="00BF60AD" w:rsidRPr="00BF60AD" w:rsidRDefault="00BF60AD" w:rsidP="00BF60AD">
      <w:pPr>
        <w:spacing w:line="360" w:lineRule="auto"/>
        <w:ind w:firstLineChars="100" w:firstLine="240"/>
        <w:rPr>
          <w:rFonts w:eastAsiaTheme="minorEastAsia" w:cs="Times New Roman"/>
          <w:sz w:val="24"/>
        </w:rPr>
      </w:pPr>
      <w:bookmarkStart w:id="1" w:name="_Hlk216791294"/>
      <w:r w:rsidRPr="00BF60AD">
        <w:rPr>
          <w:rFonts w:eastAsia="Times New Roman" w:cs="Times New Roman"/>
          <w:sz w:val="24"/>
        </w:rPr>
        <w:t xml:space="preserve">Existing literature has conducted multi-dimensional explorations of technological innovation activities and their impacts within new energy vehicle (NEV) enterprises. Regarding innovation measurement, research has evolved from focusing on quantity to emphasizing efficiency and quality. Ruan and Liu (2025) </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_Ref216369616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w:t>
      </w:r>
      <w:r w:rsidRPr="00BF60AD">
        <w:rPr>
          <w:rFonts w:eastAsia="Times New Roman" w:cs="Times New Roman"/>
          <w:sz w:val="24"/>
          <w:vertAlign w:val="superscript"/>
        </w:rPr>
        <w:fldChar w:fldCharType="end"/>
      </w:r>
      <w:r w:rsidRPr="00BF60AD">
        <w:rPr>
          <w:rFonts w:eastAsiaTheme="minorEastAsia" w:cs="Times New Roman"/>
          <w:sz w:val="24"/>
        </w:rPr>
        <w:t xml:space="preserve"> </w:t>
      </w:r>
      <w:r w:rsidRPr="00BF60AD">
        <w:rPr>
          <w:rFonts w:eastAsia="Times New Roman" w:cs="Times New Roman"/>
          <w:sz w:val="24"/>
        </w:rPr>
        <w:t>employed a two-stage dynamic network DEA model to assess the technological innovation efficiency of enterprises under carbon neutrality goals, revealing heterogeneity in the transformation of innovation resources. Wang et al. (2026)</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_Ref216369621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[2]</w:t>
      </w:r>
      <w:r w:rsidRPr="00BF60AD">
        <w:rPr>
          <w:rFonts w:eastAsia="Times New Roman" w:cs="Times New Roman"/>
          <w:sz w:val="24"/>
          <w:vertAlign w:val="superscript"/>
        </w:rPr>
        <w:fldChar w:fldCharType="end"/>
      </w:r>
      <w:r w:rsidRPr="00BF60AD">
        <w:rPr>
          <w:rFonts w:eastAsia="Times New Roman" w:cs="Times New Roman"/>
          <w:sz w:val="24"/>
        </w:rPr>
        <w:t>, when forecasting NEV sales, comprehensively considered the impacts and cumulative time-delay effects of battery technology innovation and subsidy policies, emphasizing the time-lagged nature of innovation's market influence.</w:t>
      </w:r>
    </w:p>
    <w:p w14:paraId="5414DA55" w14:textId="77777777" w:rsidR="00BF60AD" w:rsidRPr="00BF60AD" w:rsidRDefault="00BF60AD" w:rsidP="00BF60AD">
      <w:pPr>
        <w:spacing w:line="360" w:lineRule="auto"/>
        <w:ind w:firstLineChars="100" w:firstLine="240"/>
        <w:rPr>
          <w:rFonts w:eastAsiaTheme="minorEastAsia" w:cs="Times New Roman"/>
          <w:sz w:val="24"/>
        </w:rPr>
      </w:pPr>
    </w:p>
    <w:p w14:paraId="3F08DAA0"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In terms of innovation drivers, Duan and Wang (2025)</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_Ref216369627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[3]</w:t>
      </w:r>
      <w:r w:rsidRPr="00BF60AD">
        <w:rPr>
          <w:rFonts w:eastAsia="Times New Roman" w:cs="Times New Roman"/>
          <w:sz w:val="24"/>
          <w:vertAlign w:val="superscript"/>
        </w:rPr>
        <w:fldChar w:fldCharType="end"/>
      </w:r>
      <w:r w:rsidRPr="00BF60AD">
        <w:rPr>
          <w:rFonts w:eastAsia="Times New Roman" w:cs="Times New Roman"/>
          <w:sz w:val="24"/>
        </w:rPr>
        <w:t xml:space="preserve"> empirically analyzed the impact of local government policy responses on enterprise technological innovation, finding that proactive policy responses can significantly boost R&amp;D investment. Liu et </w:t>
      </w:r>
      <w:r w:rsidRPr="00BF60AD">
        <w:rPr>
          <w:rFonts w:eastAsia="Times New Roman" w:cs="Times New Roman"/>
          <w:sz w:val="24"/>
        </w:rPr>
        <w:lastRenderedPageBreak/>
        <w:t>al. (2025)</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_Ref216369642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[4]</w:t>
      </w:r>
      <w:r w:rsidRPr="00BF60AD">
        <w:rPr>
          <w:rFonts w:eastAsia="Times New Roman" w:cs="Times New Roman"/>
          <w:sz w:val="24"/>
          <w:vertAlign w:val="superscript"/>
        </w:rPr>
        <w:fldChar w:fldCharType="end"/>
      </w:r>
      <w:r w:rsidRPr="00BF60AD">
        <w:rPr>
          <w:rFonts w:eastAsia="Times New Roman" w:cs="Times New Roman"/>
          <w:sz w:val="24"/>
        </w:rPr>
        <w:t xml:space="preserve"> confirmed a positive correlation between "dual-smart" city construction and industrial technological innovation. Fan and Liu (2025)</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_Ref216369653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[5]</w:t>
      </w:r>
      <w:r w:rsidRPr="00BF60AD">
        <w:rPr>
          <w:rFonts w:eastAsia="Times New Roman" w:cs="Times New Roman"/>
          <w:sz w:val="24"/>
          <w:vertAlign w:val="superscript"/>
        </w:rPr>
        <w:fldChar w:fldCharType="end"/>
      </w:r>
      <w:r w:rsidRPr="00BF60AD">
        <w:rPr>
          <w:rFonts w:eastAsia="Times New Roman" w:cs="Times New Roman"/>
          <w:sz w:val="24"/>
        </w:rPr>
        <w:t xml:space="preserve"> found that external ESG rating events can act as accelerators for industry innovation, prompting more high-quality innovation. Regarding specific policy instruments, Xue et al. (2025)</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_Ref216369659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[6]</w:t>
      </w:r>
      <w:r w:rsidRPr="00BF60AD">
        <w:rPr>
          <w:rFonts w:eastAsia="Times New Roman" w:cs="Times New Roman"/>
          <w:sz w:val="24"/>
          <w:vertAlign w:val="superscript"/>
        </w:rPr>
        <w:fldChar w:fldCharType="end"/>
      </w:r>
      <w:r w:rsidRPr="00BF60AD">
        <w:rPr>
          <w:rFonts w:eastAsia="Times New Roman" w:cs="Times New Roman"/>
          <w:sz w:val="24"/>
        </w:rPr>
        <w:t xml:space="preserve"> studied the influence mechanisms of NEV promotion policies, while </w:t>
      </w:r>
      <w:r w:rsidRPr="00BF60AD">
        <w:rPr>
          <w:rFonts w:eastAsiaTheme="minorEastAsia" w:cs="Times New Roman"/>
          <w:sz w:val="24"/>
        </w:rPr>
        <w:t>Li</w:t>
      </w:r>
      <w:r w:rsidRPr="00BF60AD">
        <w:rPr>
          <w:rFonts w:eastAsia="Times New Roman" w:cs="Times New Roman"/>
          <w:sz w:val="24"/>
        </w:rPr>
        <w:t xml:space="preserve"> and Xing (2023)</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_Ref216369666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[7]</w:t>
      </w:r>
      <w:r w:rsidRPr="00BF60AD">
        <w:rPr>
          <w:rFonts w:eastAsia="Times New Roman" w:cs="Times New Roman"/>
          <w:sz w:val="24"/>
          <w:vertAlign w:val="superscript"/>
        </w:rPr>
        <w:fldChar w:fldCharType="end"/>
      </w:r>
      <w:r w:rsidRPr="00BF60AD">
        <w:rPr>
          <w:rFonts w:eastAsia="Times New Roman" w:cs="Times New Roman"/>
          <w:sz w:val="24"/>
        </w:rPr>
        <w:t xml:space="preserve"> analyzed the inducing effect of NEV purchase tax exemption policies on enterprise technological innovation.</w:t>
      </w:r>
    </w:p>
    <w:p w14:paraId="51B80D9B" w14:textId="77777777" w:rsidR="00BF60AD" w:rsidRPr="00BF60AD" w:rsidRDefault="00BF60AD" w:rsidP="00BF60AD">
      <w:pPr>
        <w:spacing w:line="360" w:lineRule="auto"/>
        <w:ind w:firstLineChars="100" w:firstLine="240"/>
        <w:rPr>
          <w:rFonts w:eastAsiaTheme="minorEastAsia" w:cs="Times New Roman"/>
          <w:sz w:val="24"/>
        </w:rPr>
      </w:pPr>
    </w:p>
    <w:p w14:paraId="1CEED937" w14:textId="77777777" w:rsidR="00BF60AD" w:rsidRPr="00BF60AD" w:rsidRDefault="00BF60AD" w:rsidP="00BF60AD">
      <w:pPr>
        <w:spacing w:line="360" w:lineRule="auto"/>
        <w:ind w:firstLineChars="100" w:firstLine="240"/>
        <w:rPr>
          <w:rFonts w:eastAsia="Times New Roman" w:cs="Times New Roman"/>
          <w:sz w:val="24"/>
        </w:rPr>
      </w:pPr>
      <w:r w:rsidRPr="00BF60AD">
        <w:rPr>
          <w:rFonts w:eastAsia="Times New Roman" w:cs="Times New Roman"/>
          <w:sz w:val="24"/>
        </w:rPr>
        <w:t>Technological innovation ultimately requires market performance to realize its value. Wang, Zhu, and Zheng (2025)</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_Ref216369690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[8]</w:t>
      </w:r>
      <w:r w:rsidRPr="00BF60AD">
        <w:rPr>
          <w:rFonts w:eastAsia="Times New Roman" w:cs="Times New Roman"/>
          <w:sz w:val="24"/>
          <w:vertAlign w:val="superscript"/>
        </w:rPr>
        <w:fldChar w:fldCharType="end"/>
      </w:r>
      <w:r w:rsidRPr="00BF60AD">
        <w:rPr>
          <w:rFonts w:eastAsia="Times New Roman" w:cs="Times New Roman"/>
          <w:sz w:val="24"/>
        </w:rPr>
        <w:t xml:space="preserve"> empirically tested the relationship between technological innovation and market value, finding that high-quality innovation can significantly enhance a firm's market valuation. Yang et al. (2024)</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_Ref216369698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[9]</w:t>
      </w:r>
      <w:r w:rsidRPr="00BF60AD">
        <w:rPr>
          <w:rFonts w:eastAsia="Times New Roman" w:cs="Times New Roman"/>
          <w:sz w:val="24"/>
          <w:vertAlign w:val="superscript"/>
        </w:rPr>
        <w:fldChar w:fldCharType="end"/>
      </w:r>
      <w:r w:rsidRPr="00BF60AD">
        <w:rPr>
          <w:rFonts w:eastAsia="Times New Roman" w:cs="Times New Roman"/>
          <w:sz w:val="24"/>
        </w:rPr>
        <w:t xml:space="preserve"> revealed how financial resources promote technological innovation through industry chain transmission. Although these studies explore the influencing factors and output effects of technological innovation from different levels, most remain at the enterprise or industrial meso-level, lacking systematic analysis of how innovation quality translates into export competitive advantages.</w:t>
      </w:r>
    </w:p>
    <w:bookmarkEnd w:id="1"/>
    <w:p w14:paraId="120FC7A8" w14:textId="77777777" w:rsidR="00BF60AD" w:rsidRPr="00BF60AD" w:rsidRDefault="00BF60AD" w:rsidP="00BF60AD">
      <w:pPr>
        <w:spacing w:line="360" w:lineRule="auto"/>
        <w:ind w:firstLineChars="100" w:firstLine="245"/>
        <w:rPr>
          <w:rFonts w:eastAsia="Times New Roman" w:cs="Times New Roman"/>
          <w:b/>
          <w:sz w:val="24"/>
        </w:rPr>
      </w:pPr>
    </w:p>
    <w:p w14:paraId="026B461C" w14:textId="77777777" w:rsidR="00BF60AD" w:rsidRPr="00BF60AD" w:rsidRDefault="00BF60AD" w:rsidP="00BF60AD">
      <w:pPr>
        <w:pStyle w:val="a9"/>
        <w:spacing w:line="360" w:lineRule="auto"/>
        <w:ind w:left="0"/>
        <w:rPr>
          <w:rFonts w:eastAsia="Times New Roman" w:cs="Times New Roman"/>
          <w:b/>
          <w:bCs/>
          <w:sz w:val="24"/>
        </w:rPr>
      </w:pPr>
      <w:r w:rsidRPr="00BF60AD">
        <w:rPr>
          <w:rFonts w:eastAsia="宋体" w:cs="Times New Roman"/>
          <w:b/>
          <w:bCs/>
          <w:sz w:val="24"/>
        </w:rPr>
        <w:t xml:space="preserve">2.2 </w:t>
      </w:r>
      <w:bookmarkStart w:id="2" w:name="_Hlk216791357"/>
      <w:r w:rsidRPr="00BF60AD">
        <w:rPr>
          <w:rFonts w:eastAsia="Times New Roman" w:cs="Times New Roman"/>
          <w:b/>
          <w:bCs/>
          <w:sz w:val="24"/>
        </w:rPr>
        <w:t>Research on Factors Influencing the International Competitiveness of China's NEV Industry</w:t>
      </w:r>
      <w:bookmarkEnd w:id="2"/>
      <w:r w:rsidRPr="00BF60AD">
        <w:rPr>
          <w:rFonts w:eastAsia="Times New Roman" w:cs="Times New Roman"/>
          <w:b/>
          <w:bCs/>
          <w:sz w:val="24"/>
        </w:rPr>
        <w:t xml:space="preserve"> </w:t>
      </w:r>
    </w:p>
    <w:p w14:paraId="686D5DFC" w14:textId="77777777" w:rsidR="00BF60AD" w:rsidRPr="00BF60AD" w:rsidRDefault="00BF60AD" w:rsidP="00BF60AD">
      <w:pPr>
        <w:spacing w:line="360" w:lineRule="auto"/>
        <w:ind w:firstLineChars="100" w:firstLine="240"/>
        <w:rPr>
          <w:rFonts w:eastAsiaTheme="minorEastAsia" w:cs="Times New Roman"/>
          <w:sz w:val="24"/>
        </w:rPr>
      </w:pPr>
      <w:bookmarkStart w:id="3" w:name="_Hlk216791374"/>
      <w:r w:rsidRPr="00BF60AD">
        <w:rPr>
          <w:rFonts w:eastAsia="Times New Roman" w:cs="Times New Roman"/>
          <w:sz w:val="24"/>
        </w:rPr>
        <w:t>With the rapid growth of China's NEV exports, the sources of their international competitiveness have garnered attention. On the technological front, Jian</w:t>
      </w:r>
      <w:r w:rsidRPr="00BF60AD">
        <w:rPr>
          <w:rFonts w:eastAsiaTheme="minorEastAsia" w:cs="Times New Roman"/>
          <w:sz w:val="24"/>
        </w:rPr>
        <w:t xml:space="preserve"> et al.</w:t>
      </w:r>
      <w:r w:rsidRPr="00BF60AD">
        <w:rPr>
          <w:rFonts w:eastAsia="Times New Roman" w:cs="Times New Roman"/>
          <w:sz w:val="24"/>
        </w:rPr>
        <w:t xml:space="preserve"> (2024)</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_Ref216369706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[10]</w:t>
      </w:r>
      <w:r w:rsidRPr="00BF60AD">
        <w:rPr>
          <w:rFonts w:eastAsia="Times New Roman" w:cs="Times New Roman"/>
          <w:sz w:val="24"/>
          <w:vertAlign w:val="superscript"/>
        </w:rPr>
        <w:fldChar w:fldCharType="end"/>
      </w:r>
      <w:r w:rsidRPr="00BF60AD">
        <w:rPr>
          <w:rFonts w:eastAsia="Times New Roman" w:cs="Times New Roman"/>
          <w:sz w:val="24"/>
        </w:rPr>
        <w:t>, through an evolutionary analysis of the power battery patent cooperation network, revealed the promoting effect of technological collaboration on industrial innovation. Hu et al. (2024)</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_Ref216369720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[11]</w:t>
      </w:r>
      <w:r w:rsidRPr="00BF60AD">
        <w:rPr>
          <w:rFonts w:eastAsia="Times New Roman" w:cs="Times New Roman"/>
          <w:sz w:val="24"/>
          <w:vertAlign w:val="superscript"/>
        </w:rPr>
        <w:fldChar w:fldCharType="end"/>
      </w:r>
      <w:r w:rsidRPr="00BF60AD">
        <w:rPr>
          <w:rFonts w:eastAsia="Times New Roman" w:cs="Times New Roman"/>
          <w:sz w:val="24"/>
        </w:rPr>
        <w:t xml:space="preserve"> explored the evolution path of technological change, providing a reference for understanding the direction of technological upgrading.</w:t>
      </w:r>
    </w:p>
    <w:p w14:paraId="46BB8722" w14:textId="77777777" w:rsidR="00BF60AD" w:rsidRPr="00BF60AD" w:rsidRDefault="00BF60AD" w:rsidP="00BF60AD">
      <w:pPr>
        <w:spacing w:line="360" w:lineRule="auto"/>
        <w:ind w:firstLineChars="100" w:firstLine="240"/>
        <w:rPr>
          <w:rFonts w:eastAsiaTheme="minorEastAsia" w:cs="Times New Roman"/>
          <w:sz w:val="24"/>
        </w:rPr>
      </w:pPr>
    </w:p>
    <w:p w14:paraId="233BF420"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 xml:space="preserve">Regarding policy and market environments, </w:t>
      </w:r>
      <w:r w:rsidRPr="00BF60AD">
        <w:rPr>
          <w:rFonts w:eastAsiaTheme="minorEastAsia" w:cs="Times New Roman"/>
          <w:sz w:val="24"/>
        </w:rPr>
        <w:t>Zhang</w:t>
      </w:r>
      <w:r w:rsidRPr="00BF60AD">
        <w:rPr>
          <w:rFonts w:eastAsia="Times New Roman" w:cs="Times New Roman"/>
          <w:sz w:val="24"/>
        </w:rPr>
        <w:t xml:space="preserve"> et al. (2024)</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_Ref216369872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[12]</w:t>
      </w:r>
      <w:r w:rsidRPr="00BF60AD">
        <w:rPr>
          <w:rFonts w:eastAsia="Times New Roman" w:cs="Times New Roman"/>
          <w:sz w:val="24"/>
          <w:vertAlign w:val="superscript"/>
        </w:rPr>
        <w:fldChar w:fldCharType="end"/>
      </w:r>
      <w:r w:rsidRPr="00BF60AD">
        <w:rPr>
          <w:rFonts w:eastAsia="Times New Roman" w:cs="Times New Roman"/>
          <w:sz w:val="24"/>
        </w:rPr>
        <w:t xml:space="preserve"> analyzed the impact of public policies on China's NEV industry from an institutional economics perspective, emphasizing the shaping role of the institutional environment on industrial </w:t>
      </w:r>
      <w:r w:rsidRPr="00BF60AD">
        <w:rPr>
          <w:rFonts w:eastAsia="Times New Roman" w:cs="Times New Roman"/>
          <w:sz w:val="24"/>
        </w:rPr>
        <w:lastRenderedPageBreak/>
        <w:t xml:space="preserve">development. </w:t>
      </w:r>
      <w:r w:rsidRPr="00BF60AD">
        <w:rPr>
          <w:rFonts w:eastAsiaTheme="minorEastAsia" w:cs="Times New Roman"/>
          <w:sz w:val="24"/>
        </w:rPr>
        <w:t>Mei</w:t>
      </w:r>
      <w:r w:rsidRPr="00BF60AD">
        <w:rPr>
          <w:rFonts w:eastAsia="Times New Roman" w:cs="Times New Roman"/>
          <w:sz w:val="24"/>
        </w:rPr>
        <w:t xml:space="preserve"> and </w:t>
      </w:r>
      <w:r w:rsidRPr="00BF60AD">
        <w:rPr>
          <w:rFonts w:eastAsiaTheme="minorEastAsia" w:cs="Times New Roman"/>
          <w:sz w:val="24"/>
        </w:rPr>
        <w:t>Dong</w:t>
      </w:r>
      <w:r w:rsidRPr="00BF60AD">
        <w:rPr>
          <w:rFonts w:eastAsia="Times New Roman" w:cs="Times New Roman"/>
          <w:sz w:val="24"/>
        </w:rPr>
        <w:t xml:space="preserve"> (2024)</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_Ref216369881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[13]</w:t>
      </w:r>
      <w:r w:rsidRPr="00BF60AD">
        <w:rPr>
          <w:rFonts w:eastAsia="Times New Roman" w:cs="Times New Roman"/>
          <w:sz w:val="24"/>
          <w:vertAlign w:val="superscript"/>
        </w:rPr>
        <w:fldChar w:fldCharType="end"/>
      </w:r>
      <w:r w:rsidRPr="00BF60AD">
        <w:rPr>
          <w:rFonts w:eastAsia="Times New Roman" w:cs="Times New Roman"/>
          <w:sz w:val="24"/>
        </w:rPr>
        <w:t xml:space="preserve"> analyzed China's NEV export competitiveness in the dual-carbon context, pointing out new opportunities brought by the green transition. Furthermore,</w:t>
      </w:r>
      <w:r w:rsidRPr="00BF60AD">
        <w:rPr>
          <w:rFonts w:eastAsiaTheme="minorEastAsia" w:cs="Times New Roman"/>
          <w:sz w:val="24"/>
        </w:rPr>
        <w:t xml:space="preserve"> He</w:t>
      </w:r>
      <w:r w:rsidRPr="00BF60AD">
        <w:rPr>
          <w:rFonts w:eastAsia="Times New Roman" w:cs="Times New Roman"/>
          <w:sz w:val="24"/>
        </w:rPr>
        <w:t xml:space="preserve"> et al. (2022)</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_Ref216369930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[14]</w:t>
      </w:r>
      <w:r w:rsidRPr="00BF60AD">
        <w:rPr>
          <w:rFonts w:eastAsia="Times New Roman" w:cs="Times New Roman"/>
          <w:sz w:val="24"/>
          <w:vertAlign w:val="superscript"/>
        </w:rPr>
        <w:fldChar w:fldCharType="end"/>
      </w:r>
      <w:r w:rsidRPr="00BF60AD">
        <w:rPr>
          <w:rFonts w:eastAsia="Times New Roman" w:cs="Times New Roman"/>
          <w:sz w:val="24"/>
        </w:rPr>
        <w:t xml:space="preserve"> found that oil price changes influence the innovation investment of NEV enterprises, thereby affecting long-term competitiveness.</w:t>
      </w:r>
    </w:p>
    <w:p w14:paraId="4E11421F" w14:textId="77777777" w:rsidR="00BF60AD" w:rsidRPr="00BF60AD" w:rsidRDefault="00BF60AD" w:rsidP="00BF60AD">
      <w:pPr>
        <w:spacing w:line="360" w:lineRule="auto"/>
        <w:ind w:firstLineChars="100" w:firstLine="240"/>
        <w:rPr>
          <w:rFonts w:eastAsiaTheme="minorEastAsia" w:cs="Times New Roman"/>
          <w:sz w:val="24"/>
        </w:rPr>
      </w:pPr>
    </w:p>
    <w:p w14:paraId="07227894" w14:textId="77777777" w:rsidR="00BF60AD" w:rsidRPr="00BF60AD" w:rsidRDefault="00BF60AD" w:rsidP="00BF60AD">
      <w:pPr>
        <w:spacing w:line="360" w:lineRule="auto"/>
        <w:ind w:firstLineChars="100" w:firstLine="240"/>
        <w:rPr>
          <w:rFonts w:eastAsia="Times New Roman" w:cs="Times New Roman"/>
          <w:sz w:val="24"/>
        </w:rPr>
      </w:pPr>
      <w:r w:rsidRPr="00BF60AD">
        <w:rPr>
          <w:rFonts w:eastAsia="Times New Roman" w:cs="Times New Roman"/>
          <w:sz w:val="24"/>
        </w:rPr>
        <w:t>Case studies provide specific references for understanding the formation of competitiveness. Xiao's (2025)</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_Ref216369942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[15]</w:t>
      </w:r>
      <w:r w:rsidRPr="00BF60AD">
        <w:rPr>
          <w:rFonts w:eastAsia="Times New Roman" w:cs="Times New Roman"/>
          <w:sz w:val="24"/>
          <w:vertAlign w:val="superscript"/>
        </w:rPr>
        <w:fldChar w:fldCharType="end"/>
      </w:r>
      <w:r w:rsidRPr="00BF60AD">
        <w:rPr>
          <w:rFonts w:eastAsia="Times New Roman" w:cs="Times New Roman"/>
          <w:sz w:val="24"/>
        </w:rPr>
        <w:t xml:space="preserve"> case analysis of Tesla Inc. based on value chain theory, and Ling</w:t>
      </w:r>
      <w:r w:rsidRPr="00BF60AD">
        <w:rPr>
          <w:rFonts w:eastAsiaTheme="minorEastAsia" w:cs="Times New Roman"/>
          <w:sz w:val="24"/>
        </w:rPr>
        <w:t xml:space="preserve"> </w:t>
      </w:r>
      <w:proofErr w:type="spellStart"/>
      <w:r w:rsidRPr="00BF60AD">
        <w:rPr>
          <w:rFonts w:eastAsia="Times New Roman" w:cs="Times New Roman"/>
          <w:sz w:val="24"/>
        </w:rPr>
        <w:t>jie's</w:t>
      </w:r>
      <w:proofErr w:type="spellEnd"/>
      <w:r w:rsidRPr="00BF60AD">
        <w:rPr>
          <w:rFonts w:eastAsia="Times New Roman" w:cs="Times New Roman"/>
          <w:sz w:val="24"/>
        </w:rPr>
        <w:t xml:space="preserve"> (2025)</w:t>
      </w:r>
      <w:r w:rsidRPr="00BF60AD">
        <w:rPr>
          <w:rFonts w:eastAsia="Times New Roman" w:cs="Times New Roman"/>
          <w:sz w:val="24"/>
          <w:vertAlign w:val="superscript"/>
        </w:rPr>
        <w:fldChar w:fldCharType="begin"/>
      </w:r>
      <w:r w:rsidRPr="00BF60AD">
        <w:rPr>
          <w:rFonts w:eastAsia="Times New Roman" w:cs="Times New Roman"/>
          <w:sz w:val="24"/>
          <w:vertAlign w:val="superscript"/>
        </w:rPr>
        <w:instrText xml:space="preserve"> REF _Ref216369947 \r \h  \* MERGEFORMAT </w:instrText>
      </w:r>
      <w:r w:rsidRPr="00BF60AD">
        <w:rPr>
          <w:rFonts w:eastAsia="Times New Roman" w:cs="Times New Roman"/>
          <w:sz w:val="24"/>
          <w:vertAlign w:val="superscript"/>
        </w:rPr>
      </w:r>
      <w:r w:rsidRPr="00BF60AD">
        <w:rPr>
          <w:rFonts w:eastAsia="Times New Roman" w:cs="Times New Roman"/>
          <w:sz w:val="24"/>
          <w:vertAlign w:val="superscript"/>
        </w:rPr>
        <w:fldChar w:fldCharType="separate"/>
      </w:r>
      <w:r w:rsidRPr="00BF60AD">
        <w:rPr>
          <w:rFonts w:eastAsia="Times New Roman" w:cs="Times New Roman"/>
          <w:sz w:val="24"/>
          <w:vertAlign w:val="superscript"/>
        </w:rPr>
        <w:t>[16]</w:t>
      </w:r>
      <w:r w:rsidRPr="00BF60AD">
        <w:rPr>
          <w:rFonts w:eastAsia="Times New Roman" w:cs="Times New Roman"/>
          <w:sz w:val="24"/>
          <w:vertAlign w:val="superscript"/>
        </w:rPr>
        <w:fldChar w:fldCharType="end"/>
      </w:r>
      <w:r w:rsidRPr="00BF60AD">
        <w:rPr>
          <w:rFonts w:eastAsia="Times New Roman" w:cs="Times New Roman"/>
          <w:sz w:val="24"/>
        </w:rPr>
        <w:t xml:space="preserve"> analysis of the relationship between technological innovation and competitive advantage in the NEV industry using BYD as an example, both reveal how technological innovation translates into market advantages at the enterprise level. While insightful, these case studies are difficult to generalize to the overall industry level.</w:t>
      </w:r>
    </w:p>
    <w:bookmarkEnd w:id="3"/>
    <w:p w14:paraId="50788D06" w14:textId="77777777" w:rsidR="00BF60AD" w:rsidRPr="00BF60AD" w:rsidRDefault="00BF60AD" w:rsidP="00BF60AD">
      <w:pPr>
        <w:spacing w:line="360" w:lineRule="auto"/>
        <w:rPr>
          <w:rFonts w:eastAsiaTheme="minorEastAsia" w:cs="Times New Roman"/>
          <w:sz w:val="24"/>
        </w:rPr>
      </w:pPr>
    </w:p>
    <w:p w14:paraId="3BC6EF0E" w14:textId="77777777" w:rsidR="00BF60AD" w:rsidRPr="00BF60AD" w:rsidRDefault="00BF60AD" w:rsidP="00BF60AD">
      <w:pPr>
        <w:pStyle w:val="a9"/>
        <w:spacing w:line="360" w:lineRule="auto"/>
        <w:ind w:left="0"/>
        <w:rPr>
          <w:rFonts w:eastAsia="Times New Roman" w:cs="Times New Roman"/>
          <w:b/>
          <w:bCs/>
          <w:sz w:val="24"/>
        </w:rPr>
      </w:pPr>
      <w:r w:rsidRPr="00BF60AD">
        <w:rPr>
          <w:rFonts w:eastAsia="宋体" w:cs="Times New Roman"/>
          <w:b/>
          <w:bCs/>
          <w:sz w:val="24"/>
        </w:rPr>
        <w:t xml:space="preserve">2.3 </w:t>
      </w:r>
      <w:bookmarkStart w:id="4" w:name="_Hlk216791438"/>
      <w:r w:rsidRPr="00BF60AD">
        <w:rPr>
          <w:rFonts w:eastAsia="Times New Roman" w:cs="Times New Roman"/>
          <w:b/>
          <w:bCs/>
          <w:sz w:val="24"/>
        </w:rPr>
        <w:t>Research Gap and Positioning of This Study</w:t>
      </w:r>
      <w:bookmarkEnd w:id="4"/>
    </w:p>
    <w:p w14:paraId="59CDB7B0" w14:textId="77777777" w:rsidR="00BF60AD" w:rsidRPr="00BF60AD" w:rsidRDefault="00BF60AD" w:rsidP="00BF60AD">
      <w:pPr>
        <w:spacing w:line="360" w:lineRule="auto"/>
        <w:ind w:firstLineChars="100" w:firstLine="240"/>
        <w:rPr>
          <w:rFonts w:eastAsiaTheme="minorEastAsia" w:cs="Times New Roman"/>
          <w:sz w:val="24"/>
        </w:rPr>
      </w:pPr>
      <w:bookmarkStart w:id="5" w:name="_Hlk216791447"/>
      <w:r w:rsidRPr="00BF60AD">
        <w:rPr>
          <w:rFonts w:eastAsiaTheme="minorEastAsia" w:cs="Times New Roman"/>
          <w:sz w:val="24"/>
        </w:rPr>
        <w:t>Despite existing literature exploring technological innovation and competitiveness in the NEV industry from various angles, the following research gaps remain: Firstly, existing studies either focus on the technological innovation process or analyze export performance, lacking systematic empirical testing of how the quality of technological innovation (particularly the proportion of invention patents) dynamically affects export competitiveness (manifested as "volume-price simultaneous increase"). Secondly, most employ static analytical methods, making it difficult to capture the dynamic causal relationships between variables. Thirdly, there is a scarcity of thorough investigations that adopt a macro-industry viewpoint and utilize high-frequency datasets to explore the linkage between the caliber of innovation and export outcomes.</w:t>
      </w:r>
    </w:p>
    <w:p w14:paraId="440CBF57" w14:textId="77777777" w:rsidR="00BF60AD" w:rsidRPr="00BF60AD" w:rsidRDefault="00BF60AD" w:rsidP="00BF60AD">
      <w:pPr>
        <w:spacing w:line="360" w:lineRule="auto"/>
        <w:ind w:firstLineChars="100" w:firstLine="240"/>
        <w:rPr>
          <w:rFonts w:eastAsiaTheme="minorEastAsia" w:cs="Times New Roman"/>
          <w:sz w:val="24"/>
        </w:rPr>
      </w:pPr>
    </w:p>
    <w:p w14:paraId="381555BB"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heme="minorEastAsia" w:cs="Times New Roman"/>
          <w:sz w:val="24"/>
        </w:rPr>
        <w:t xml:space="preserve">This study aims to fill these gaps by constructing an innovation quality indicator centered on the "proportion of invention patents" and utilizing monthly data from 2018-2024 with a Vector Autoregression model to empirically test the dynamic driving mechanism of innovation quality on the "volume-price rise" of exports. The research will focus on: whether and how innovation quality simultaneously affects export </w:t>
      </w:r>
      <w:r w:rsidRPr="00BF60AD">
        <w:rPr>
          <w:rFonts w:eastAsiaTheme="minorEastAsia" w:cs="Times New Roman"/>
          <w:sz w:val="24"/>
        </w:rPr>
        <w:lastRenderedPageBreak/>
        <w:t>volume and unit price; the relative importance of "quality" versus "quantity"; and the dynamic interactions among the three variables.</w:t>
      </w:r>
    </w:p>
    <w:bookmarkEnd w:id="5"/>
    <w:p w14:paraId="2586BAB5" w14:textId="77777777" w:rsidR="00BF60AD" w:rsidRPr="00BF60AD" w:rsidRDefault="00BF60AD" w:rsidP="00BF60AD">
      <w:pPr>
        <w:spacing w:line="360" w:lineRule="auto"/>
        <w:rPr>
          <w:rFonts w:eastAsia="Times New Roman" w:cs="Times New Roman"/>
          <w:sz w:val="24"/>
        </w:rPr>
      </w:pPr>
    </w:p>
    <w:p w14:paraId="3CB56814" w14:textId="77777777" w:rsidR="00BF60AD" w:rsidRPr="00BF60AD" w:rsidRDefault="00BF60AD" w:rsidP="00BF60AD">
      <w:pPr>
        <w:pStyle w:val="a9"/>
        <w:numPr>
          <w:ilvl w:val="0"/>
          <w:numId w:val="1"/>
        </w:numPr>
        <w:spacing w:line="360" w:lineRule="auto"/>
        <w:rPr>
          <w:rFonts w:eastAsia="Times New Roman" w:cs="Times New Roman"/>
          <w:b/>
          <w:sz w:val="24"/>
        </w:rPr>
      </w:pPr>
      <w:r w:rsidRPr="00BF60AD">
        <w:rPr>
          <w:rFonts w:eastAsia="Times New Roman" w:cs="Times New Roman"/>
          <w:b/>
          <w:sz w:val="24"/>
        </w:rPr>
        <w:t>Methodology and Procedures</w:t>
      </w:r>
    </w:p>
    <w:p w14:paraId="16669532"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To thoroughly evaluate how the structure of innovation dynamically affects export results, this study assembles a monthly time-series database and applies a Vector Autoregression methodology for empirical testing.</w:t>
      </w:r>
      <w:r w:rsidRPr="00BF60AD">
        <w:rPr>
          <w:rFonts w:cs="Times New Roman"/>
          <w:sz w:val="24"/>
        </w:rPr>
        <w:t xml:space="preserve"> </w:t>
      </w:r>
    </w:p>
    <w:p w14:paraId="78764F0A" w14:textId="77777777" w:rsidR="00BF60AD" w:rsidRPr="00BF60AD" w:rsidRDefault="00BF60AD" w:rsidP="00BF60AD">
      <w:pPr>
        <w:spacing w:line="360" w:lineRule="auto"/>
        <w:ind w:firstLineChars="100" w:firstLine="240"/>
        <w:rPr>
          <w:rFonts w:eastAsiaTheme="minorEastAsia" w:cs="Times New Roman"/>
          <w:sz w:val="24"/>
        </w:rPr>
      </w:pPr>
    </w:p>
    <w:p w14:paraId="6DC33575" w14:textId="77777777" w:rsidR="00BF60AD" w:rsidRPr="00BF60AD" w:rsidRDefault="00BF60AD" w:rsidP="00BF60AD">
      <w:pPr>
        <w:pStyle w:val="a9"/>
        <w:spacing w:line="360" w:lineRule="auto"/>
        <w:ind w:left="0"/>
        <w:rPr>
          <w:rFonts w:eastAsia="宋体" w:cs="Times New Roman"/>
          <w:b/>
          <w:bCs/>
          <w:sz w:val="24"/>
        </w:rPr>
      </w:pPr>
      <w:r w:rsidRPr="00BF60AD">
        <w:rPr>
          <w:rFonts w:eastAsia="宋体" w:cs="Times New Roman"/>
          <w:b/>
          <w:bCs/>
          <w:sz w:val="24"/>
        </w:rPr>
        <w:t>3.1. Data Sources and Processing</w:t>
      </w:r>
    </w:p>
    <w:p w14:paraId="74E6A8E2" w14:textId="77777777" w:rsidR="00BF60AD" w:rsidRPr="00BF60AD" w:rsidRDefault="00BF60AD" w:rsidP="00BF60AD">
      <w:pPr>
        <w:spacing w:line="360" w:lineRule="auto"/>
        <w:ind w:firstLineChars="100" w:firstLine="240"/>
        <w:rPr>
          <w:rFonts w:eastAsia="Times New Roman" w:cs="Times New Roman"/>
          <w:sz w:val="24"/>
        </w:rPr>
      </w:pPr>
      <w:r w:rsidRPr="00BF60AD">
        <w:rPr>
          <w:rFonts w:eastAsia="Times New Roman" w:cs="Times New Roman"/>
          <w:sz w:val="24"/>
        </w:rPr>
        <w:t>This study constructs a monthly dataset spanning January 2018 to December 2024. Core variables are defined as follows:</w:t>
      </w:r>
    </w:p>
    <w:p w14:paraId="4FE9EF25" w14:textId="77777777" w:rsidR="00BF60AD" w:rsidRPr="00BF60AD" w:rsidRDefault="00BF60AD" w:rsidP="00BF60AD">
      <w:pPr>
        <w:spacing w:line="360" w:lineRule="auto"/>
        <w:ind w:firstLineChars="100" w:firstLine="240"/>
        <w:rPr>
          <w:rFonts w:eastAsia="Times New Roman" w:cs="Times New Roman"/>
          <w:sz w:val="24"/>
        </w:rPr>
      </w:pPr>
      <w:r w:rsidRPr="00BF60AD">
        <w:rPr>
          <w:rFonts w:eastAsia="Times New Roman" w:cs="Times New Roman"/>
          <w:sz w:val="24"/>
        </w:rPr>
        <w:t xml:space="preserve">Export Scale: Monthly NEV export quantity (units), transformed using natural logarithm, denoted as </w:t>
      </w:r>
      <w:r w:rsidRPr="00BF60AD">
        <w:rPr>
          <w:rFonts w:eastAsia="Times New Roman" w:cs="Times New Roman"/>
          <w:i/>
          <w:iCs/>
          <w:sz w:val="24"/>
        </w:rPr>
        <w:t>ln(</w:t>
      </w:r>
      <w:proofErr w:type="spellStart"/>
      <w:r w:rsidRPr="00BF60AD">
        <w:rPr>
          <w:rFonts w:eastAsia="Times New Roman" w:cs="Times New Roman"/>
          <w:i/>
          <w:iCs/>
          <w:sz w:val="24"/>
        </w:rPr>
        <w:t>Export_Volume</w:t>
      </w:r>
      <w:proofErr w:type="spellEnd"/>
      <w:r w:rsidRPr="00BF60AD">
        <w:rPr>
          <w:rFonts w:eastAsia="Times New Roman" w:cs="Times New Roman"/>
          <w:i/>
          <w:iCs/>
          <w:sz w:val="24"/>
        </w:rPr>
        <w:t>)</w:t>
      </w:r>
      <w:r w:rsidRPr="00BF60AD">
        <w:rPr>
          <w:rFonts w:eastAsia="Times New Roman" w:cs="Times New Roman"/>
          <w:sz w:val="24"/>
        </w:rPr>
        <w:t>.</w:t>
      </w:r>
    </w:p>
    <w:p w14:paraId="5C8840D2" w14:textId="77777777" w:rsidR="00BF60AD" w:rsidRPr="00BF60AD" w:rsidRDefault="00BF60AD" w:rsidP="00BF60AD">
      <w:pPr>
        <w:spacing w:line="360" w:lineRule="auto"/>
        <w:ind w:firstLineChars="100" w:firstLine="240"/>
        <w:rPr>
          <w:rFonts w:eastAsia="Times New Roman" w:cs="Times New Roman"/>
          <w:sz w:val="24"/>
        </w:rPr>
      </w:pPr>
      <w:r w:rsidRPr="00BF60AD">
        <w:rPr>
          <w:rFonts w:eastAsia="Times New Roman" w:cs="Times New Roman"/>
          <w:sz w:val="24"/>
        </w:rPr>
        <w:t xml:space="preserve">Export Price: Export Price: Calculated as monthly NEV export value divided by export quantity (in 10,000 CNY per unit), transformed via the natural logarithm, and denoted as </w:t>
      </w:r>
      <w:r w:rsidRPr="00BF60AD">
        <w:rPr>
          <w:rFonts w:eastAsia="Times New Roman" w:cs="Times New Roman"/>
          <w:i/>
          <w:iCs/>
          <w:sz w:val="24"/>
        </w:rPr>
        <w:t>ln(</w:t>
      </w:r>
      <w:proofErr w:type="spellStart"/>
      <w:r w:rsidRPr="00BF60AD">
        <w:rPr>
          <w:rFonts w:eastAsia="Times New Roman" w:cs="Times New Roman"/>
          <w:i/>
          <w:iCs/>
          <w:sz w:val="24"/>
        </w:rPr>
        <w:t>Export_Price</w:t>
      </w:r>
      <w:proofErr w:type="spellEnd"/>
      <w:r w:rsidRPr="00BF60AD">
        <w:rPr>
          <w:rFonts w:eastAsia="Times New Roman" w:cs="Times New Roman"/>
          <w:i/>
          <w:iCs/>
          <w:sz w:val="24"/>
        </w:rPr>
        <w:t>)</w:t>
      </w:r>
      <w:r w:rsidRPr="00BF60AD">
        <w:rPr>
          <w:rFonts w:eastAsia="Times New Roman" w:cs="Times New Roman"/>
          <w:sz w:val="24"/>
        </w:rPr>
        <w:t>.</w:t>
      </w:r>
    </w:p>
    <w:p w14:paraId="722BA515" w14:textId="77777777" w:rsidR="00BF60AD" w:rsidRPr="00BF60AD" w:rsidRDefault="00BF60AD" w:rsidP="00BF60AD">
      <w:pPr>
        <w:spacing w:line="360" w:lineRule="auto"/>
        <w:ind w:firstLineChars="100" w:firstLine="240"/>
        <w:rPr>
          <w:rFonts w:eastAsia="Times New Roman" w:cs="Times New Roman"/>
          <w:sz w:val="24"/>
        </w:rPr>
      </w:pPr>
      <w:r w:rsidRPr="00BF60AD">
        <w:rPr>
          <w:rFonts w:eastAsia="Times New Roman" w:cs="Times New Roman"/>
          <w:sz w:val="24"/>
        </w:rPr>
        <w:t xml:space="preserve">Innovation Quantity: Total monthly patent applications (items), transformed using natural logarithm, denoted as </w:t>
      </w:r>
      <w:r w:rsidRPr="00BF60AD">
        <w:rPr>
          <w:rFonts w:eastAsia="Times New Roman" w:cs="Times New Roman"/>
          <w:i/>
          <w:iCs/>
          <w:sz w:val="24"/>
        </w:rPr>
        <w:t>ln(</w:t>
      </w:r>
      <w:proofErr w:type="spellStart"/>
      <w:r w:rsidRPr="00BF60AD">
        <w:rPr>
          <w:rFonts w:eastAsia="Times New Roman" w:cs="Times New Roman"/>
          <w:i/>
          <w:iCs/>
          <w:sz w:val="24"/>
        </w:rPr>
        <w:t>Patent_Total</w:t>
      </w:r>
      <w:proofErr w:type="spellEnd"/>
      <w:r w:rsidRPr="00BF60AD">
        <w:rPr>
          <w:rFonts w:eastAsia="Times New Roman" w:cs="Times New Roman"/>
          <w:i/>
          <w:iCs/>
          <w:sz w:val="24"/>
        </w:rPr>
        <w:t>)</w:t>
      </w:r>
      <w:r w:rsidRPr="00BF60AD">
        <w:rPr>
          <w:rFonts w:eastAsia="Times New Roman" w:cs="Times New Roman"/>
          <w:sz w:val="24"/>
        </w:rPr>
        <w:t>.</w:t>
      </w:r>
    </w:p>
    <w:p w14:paraId="0F690CF2"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 xml:space="preserve">Innovation Quality: The share of invention patent applications in the total number of patent applications, denoted as </w:t>
      </w:r>
      <w:r w:rsidRPr="00BF60AD">
        <w:rPr>
          <w:rFonts w:eastAsia="Times New Roman" w:cs="Times New Roman"/>
          <w:i/>
          <w:iCs/>
          <w:sz w:val="24"/>
        </w:rPr>
        <w:t>Innovation quality</w:t>
      </w:r>
      <w:r w:rsidRPr="00BF60AD">
        <w:rPr>
          <w:rFonts w:eastAsia="Times New Roman" w:cs="Times New Roman"/>
          <w:sz w:val="24"/>
        </w:rPr>
        <w:t>.</w:t>
      </w:r>
    </w:p>
    <w:p w14:paraId="4C224C32" w14:textId="77777777" w:rsidR="00BF60AD" w:rsidRPr="00BF60AD" w:rsidRDefault="00BF60AD" w:rsidP="00BF60AD">
      <w:pPr>
        <w:spacing w:line="360" w:lineRule="auto"/>
        <w:ind w:firstLineChars="100" w:firstLine="240"/>
        <w:rPr>
          <w:rFonts w:eastAsiaTheme="minorEastAsia" w:cs="Times New Roman"/>
          <w:sz w:val="24"/>
        </w:rPr>
      </w:pPr>
    </w:p>
    <w:p w14:paraId="5AD2016A" w14:textId="77777777" w:rsidR="00BF60AD" w:rsidRPr="00BF60AD" w:rsidRDefault="00BF60AD" w:rsidP="00BF60AD">
      <w:pPr>
        <w:spacing w:line="360" w:lineRule="auto"/>
        <w:ind w:firstLineChars="100" w:firstLine="240"/>
        <w:rPr>
          <w:rFonts w:eastAsiaTheme="minorEastAsia" w:cs="Times New Roman"/>
          <w:sz w:val="24"/>
        </w:rPr>
      </w:pPr>
      <w:bookmarkStart w:id="6" w:name="_Hlk216791516"/>
      <w:bookmarkStart w:id="7" w:name="_Hlk216791501"/>
      <w:r w:rsidRPr="00BF60AD">
        <w:rPr>
          <w:rFonts w:eastAsia="Times New Roman" w:cs="Times New Roman"/>
          <w:sz w:val="24"/>
        </w:rPr>
        <w:t>New energy vehicles</w:t>
      </w:r>
      <w:r w:rsidRPr="00BF60AD">
        <w:rPr>
          <w:rFonts w:eastAsiaTheme="minorEastAsia" w:cs="Times New Roman"/>
          <w:sz w:val="24"/>
        </w:rPr>
        <w:t xml:space="preserve"> New energy vehicles mainly comprise Battery Electric Vehicles (BEV), Hybrid Electric Vehicles (which include both non-plug-in and plug-in varieties), Fuel Cell Electric Vehicles (FCEV), and other automobiles that employ advanced energy storage systems like supercapacitors or flywheels. This research, referencing customs HS codes and adopting General Administration of Customs of China, chooses export data for NEV products classified under HS codes: 870220, 870230, 870240, 870340, 870350, 870360, 870370, and 870380, covering the period from January 2018 to December 2024.</w:t>
      </w:r>
    </w:p>
    <w:bookmarkEnd w:id="6"/>
    <w:p w14:paraId="458D24E3" w14:textId="77777777" w:rsidR="00BF60AD" w:rsidRPr="00BF60AD" w:rsidRDefault="00BF60AD" w:rsidP="00BF60AD">
      <w:pPr>
        <w:spacing w:line="360" w:lineRule="auto"/>
        <w:rPr>
          <w:rFonts w:eastAsiaTheme="minorEastAsia" w:cs="Times New Roman"/>
          <w:i/>
          <w:iCs/>
          <w:sz w:val="24"/>
        </w:rPr>
      </w:pPr>
    </w:p>
    <w:p w14:paraId="52CCE916" w14:textId="77777777" w:rsidR="00BF60AD" w:rsidRPr="00BF60AD" w:rsidRDefault="00BF60AD" w:rsidP="00BF60AD">
      <w:pPr>
        <w:spacing w:line="360" w:lineRule="auto"/>
        <w:rPr>
          <w:rFonts w:eastAsia="宋体" w:cs="Times New Roman"/>
          <w:sz w:val="24"/>
        </w:rPr>
      </w:pPr>
      <w:r w:rsidRPr="00BF60AD">
        <w:rPr>
          <w:rFonts w:eastAsia="Times New Roman" w:cs="Times New Roman"/>
          <w:sz w:val="24"/>
        </w:rPr>
        <w:lastRenderedPageBreak/>
        <w:t xml:space="preserve">Table </w:t>
      </w:r>
      <w:r w:rsidRPr="00BF60AD">
        <w:rPr>
          <w:rFonts w:eastAsiaTheme="minorEastAsia" w:cs="Times New Roman"/>
          <w:sz w:val="24"/>
        </w:rPr>
        <w:t>3</w:t>
      </w:r>
      <w:r w:rsidRPr="00BF60AD">
        <w:rPr>
          <w:rFonts w:eastAsia="Times New Roman" w:cs="Times New Roman"/>
          <w:sz w:val="24"/>
        </w:rPr>
        <w:t xml:space="preserve">.1: New Energy Vehicle Model Classification Table </w:t>
      </w:r>
    </w:p>
    <w:tbl>
      <w:tblPr>
        <w:tblStyle w:val="af1"/>
        <w:tblW w:w="0" w:type="auto"/>
        <w:tblLook w:val="04A0" w:firstRow="1" w:lastRow="0" w:firstColumn="1" w:lastColumn="0" w:noHBand="0" w:noVBand="1"/>
      </w:tblPr>
      <w:tblGrid>
        <w:gridCol w:w="1207"/>
        <w:gridCol w:w="7089"/>
      </w:tblGrid>
      <w:tr w:rsidR="00BF60AD" w:rsidRPr="00BF60AD" w14:paraId="5A1A5E2F" w14:textId="77777777" w:rsidTr="00774C53">
        <w:tc>
          <w:tcPr>
            <w:tcW w:w="1270" w:type="dxa"/>
          </w:tcPr>
          <w:p w14:paraId="1A16DBEB"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HS Code</w:t>
            </w:r>
          </w:p>
        </w:tc>
        <w:tc>
          <w:tcPr>
            <w:tcW w:w="8380" w:type="dxa"/>
          </w:tcPr>
          <w:p w14:paraId="79FF8190"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Product Description</w:t>
            </w:r>
          </w:p>
        </w:tc>
      </w:tr>
      <w:tr w:rsidR="00BF60AD" w:rsidRPr="00BF60AD" w14:paraId="1C8A28C2" w14:textId="77777777" w:rsidTr="00774C53">
        <w:tc>
          <w:tcPr>
            <w:tcW w:w="1270" w:type="dxa"/>
          </w:tcPr>
          <w:p w14:paraId="409C0811"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870220</w:t>
            </w:r>
          </w:p>
        </w:tc>
        <w:tc>
          <w:tcPr>
            <w:tcW w:w="8380" w:type="dxa"/>
          </w:tcPr>
          <w:p w14:paraId="3CEE4998"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Motor vehicles equipped with both a compression-ignition internal combustion piston engine (diesel or semi-diesel) and an electric motor for propulsion.</w:t>
            </w:r>
          </w:p>
        </w:tc>
      </w:tr>
      <w:tr w:rsidR="00BF60AD" w:rsidRPr="00BF60AD" w14:paraId="5BB3F944" w14:textId="77777777" w:rsidTr="00774C53">
        <w:tc>
          <w:tcPr>
            <w:tcW w:w="1270" w:type="dxa"/>
          </w:tcPr>
          <w:p w14:paraId="7B4A5A76"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870230</w:t>
            </w:r>
          </w:p>
        </w:tc>
        <w:tc>
          <w:tcPr>
            <w:tcW w:w="8380" w:type="dxa"/>
          </w:tcPr>
          <w:p w14:paraId="6E7D65B6"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Motor vehicles equipped with both a spark-ignition internal combustion piston engine and an electric motor for propulsion.</w:t>
            </w:r>
          </w:p>
        </w:tc>
      </w:tr>
      <w:tr w:rsidR="00BF60AD" w:rsidRPr="00BF60AD" w14:paraId="2E85AF5E" w14:textId="77777777" w:rsidTr="00774C53">
        <w:tc>
          <w:tcPr>
            <w:tcW w:w="1270" w:type="dxa"/>
          </w:tcPr>
          <w:p w14:paraId="226E932D"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870240</w:t>
            </w:r>
          </w:p>
        </w:tc>
        <w:tc>
          <w:tcPr>
            <w:tcW w:w="8380" w:type="dxa"/>
          </w:tcPr>
          <w:p w14:paraId="0710E74A"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Motor vehicles equipped solely with an electric motor for propulsion.</w:t>
            </w:r>
          </w:p>
        </w:tc>
      </w:tr>
      <w:tr w:rsidR="00BF60AD" w:rsidRPr="00BF60AD" w14:paraId="7774962C" w14:textId="77777777" w:rsidTr="00774C53">
        <w:tc>
          <w:tcPr>
            <w:tcW w:w="1270" w:type="dxa"/>
          </w:tcPr>
          <w:p w14:paraId="59A56670"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870340</w:t>
            </w:r>
          </w:p>
        </w:tc>
        <w:tc>
          <w:tcPr>
            <w:tcW w:w="8380" w:type="dxa"/>
          </w:tcPr>
          <w:p w14:paraId="3957C6DB"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Passenger cars with both spark-ignition internal combustion piston engine and electric motor for propulsion (non-plug-in hybrid), of a cylinder capacity not exceeding 1500cc.</w:t>
            </w:r>
          </w:p>
        </w:tc>
      </w:tr>
      <w:tr w:rsidR="00BF60AD" w:rsidRPr="00BF60AD" w14:paraId="6C8F51BE" w14:textId="77777777" w:rsidTr="00774C53">
        <w:tc>
          <w:tcPr>
            <w:tcW w:w="1270" w:type="dxa"/>
          </w:tcPr>
          <w:p w14:paraId="4EB21549"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870350</w:t>
            </w:r>
          </w:p>
        </w:tc>
        <w:tc>
          <w:tcPr>
            <w:tcW w:w="8380" w:type="dxa"/>
          </w:tcPr>
          <w:p w14:paraId="20E782BD"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Passenger cars with both compression-ignition internal combustion piston engine and electric motor for propulsion (non-plug-in hybrid), of a cylinder capacity not exceeding 1500cc.</w:t>
            </w:r>
          </w:p>
        </w:tc>
      </w:tr>
      <w:tr w:rsidR="00BF60AD" w:rsidRPr="00BF60AD" w14:paraId="66FE53CD" w14:textId="77777777" w:rsidTr="00774C53">
        <w:tc>
          <w:tcPr>
            <w:tcW w:w="1270" w:type="dxa"/>
          </w:tcPr>
          <w:p w14:paraId="513FD1FF"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870360</w:t>
            </w:r>
          </w:p>
        </w:tc>
        <w:tc>
          <w:tcPr>
            <w:tcW w:w="8380" w:type="dxa"/>
          </w:tcPr>
          <w:p w14:paraId="1867F3BD"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Passenger cars with both spark-ignition internal combustion piston engine and electric motor for propulsion (plug-in hybrid), of a cylinder capacity not exceeding 1500cc.</w:t>
            </w:r>
          </w:p>
        </w:tc>
      </w:tr>
      <w:tr w:rsidR="00BF60AD" w:rsidRPr="00BF60AD" w14:paraId="62C8F754" w14:textId="77777777" w:rsidTr="00774C53">
        <w:tc>
          <w:tcPr>
            <w:tcW w:w="1270" w:type="dxa"/>
          </w:tcPr>
          <w:p w14:paraId="45E1DDE0"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870370</w:t>
            </w:r>
          </w:p>
        </w:tc>
        <w:tc>
          <w:tcPr>
            <w:tcW w:w="8380" w:type="dxa"/>
          </w:tcPr>
          <w:p w14:paraId="0509C4A1"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Passenger cars with both compression-ignition internal combustion piston engine and electric motor for propulsion (plug-in hybrid), of a cylinder capacity not exceeding 1500cc.</w:t>
            </w:r>
          </w:p>
        </w:tc>
      </w:tr>
      <w:tr w:rsidR="00BF60AD" w:rsidRPr="00BF60AD" w14:paraId="1ABACE6A" w14:textId="77777777" w:rsidTr="00774C53">
        <w:tc>
          <w:tcPr>
            <w:tcW w:w="1270" w:type="dxa"/>
          </w:tcPr>
          <w:p w14:paraId="52C53D1D"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870380</w:t>
            </w:r>
          </w:p>
        </w:tc>
        <w:tc>
          <w:tcPr>
            <w:tcW w:w="8380" w:type="dxa"/>
          </w:tcPr>
          <w:p w14:paraId="73C65514" w14:textId="77777777" w:rsidR="00BF60AD" w:rsidRPr="00BF60AD" w:rsidRDefault="00BF60AD" w:rsidP="00BF60AD">
            <w:pPr>
              <w:spacing w:line="360" w:lineRule="auto"/>
              <w:rPr>
                <w:rFonts w:eastAsia="Times New Roman"/>
                <w:sz w:val="24"/>
                <w:szCs w:val="24"/>
              </w:rPr>
            </w:pPr>
            <w:r w:rsidRPr="00BF60AD">
              <w:rPr>
                <w:rFonts w:eastAsia="Times New Roman"/>
                <w:sz w:val="24"/>
                <w:szCs w:val="24"/>
              </w:rPr>
              <w:t>Motor vehicles for the transport of persons, equipped solely with an electric motor for propulsion.</w:t>
            </w:r>
          </w:p>
        </w:tc>
      </w:tr>
    </w:tbl>
    <w:p w14:paraId="0B8D6C70" w14:textId="77777777" w:rsidR="00BF60AD" w:rsidRPr="00BF60AD" w:rsidRDefault="00BF60AD" w:rsidP="00BF60AD">
      <w:pPr>
        <w:spacing w:line="360" w:lineRule="auto"/>
        <w:rPr>
          <w:rFonts w:eastAsia="Times New Roman" w:cs="Times New Roman"/>
          <w:sz w:val="24"/>
        </w:rPr>
      </w:pPr>
      <w:r w:rsidRPr="00BF60AD">
        <w:rPr>
          <w:rFonts w:eastAsia="Times New Roman" w:cs="Times New Roman"/>
          <w:sz w:val="24"/>
        </w:rPr>
        <w:t>Source: General Administration of Customs of China</w:t>
      </w:r>
    </w:p>
    <w:bookmarkEnd w:id="7"/>
    <w:p w14:paraId="4B85B371" w14:textId="77777777" w:rsidR="00BF60AD" w:rsidRPr="00BF60AD" w:rsidRDefault="00BF60AD" w:rsidP="00BF60AD">
      <w:pPr>
        <w:spacing w:line="360" w:lineRule="auto"/>
        <w:ind w:firstLineChars="100" w:firstLine="240"/>
        <w:rPr>
          <w:rFonts w:eastAsiaTheme="minorEastAsia" w:cs="Times New Roman"/>
          <w:sz w:val="24"/>
        </w:rPr>
      </w:pPr>
    </w:p>
    <w:p w14:paraId="6341DD13" w14:textId="77777777" w:rsidR="00BF60AD" w:rsidRPr="00BF60AD" w:rsidRDefault="00BF60AD" w:rsidP="00BF60AD">
      <w:pPr>
        <w:pStyle w:val="a9"/>
        <w:spacing w:line="360" w:lineRule="auto"/>
        <w:ind w:left="0"/>
        <w:rPr>
          <w:rFonts w:eastAsia="宋体" w:cs="Times New Roman"/>
          <w:b/>
          <w:bCs/>
          <w:sz w:val="24"/>
        </w:rPr>
      </w:pPr>
      <w:bookmarkStart w:id="8" w:name="_Hlk216791744"/>
      <w:r w:rsidRPr="00BF60AD">
        <w:rPr>
          <w:rFonts w:eastAsia="宋体" w:cs="Times New Roman"/>
          <w:b/>
          <w:bCs/>
          <w:sz w:val="24"/>
        </w:rPr>
        <w:t>3.2Variable Selection and Descriptive Statistics</w:t>
      </w:r>
    </w:p>
    <w:p w14:paraId="70CB18BC" w14:textId="77777777" w:rsidR="00BF60AD" w:rsidRPr="00BF60AD" w:rsidRDefault="00BF60AD" w:rsidP="00BF60AD">
      <w:pPr>
        <w:spacing w:line="360" w:lineRule="auto"/>
        <w:ind w:firstLineChars="100" w:firstLine="240"/>
        <w:rPr>
          <w:rStyle w:val="af2"/>
          <w:rFonts w:eastAsiaTheme="minorEastAsia" w:cs="Times New Roman"/>
          <w:i w:val="0"/>
          <w:sz w:val="24"/>
        </w:rPr>
      </w:pPr>
      <w:r w:rsidRPr="00BF60AD">
        <w:rPr>
          <w:rFonts w:eastAsia="Times New Roman" w:cs="Times New Roman"/>
          <w:sz w:val="24"/>
        </w:rPr>
        <w:t>This study aims to examine how the two core explanatory variables—innovation quality and innovation quantity—respectively influence the two dependent variables, export volume and export price, thereby explaining the phenomenon of "volume-price simultaneous increase.</w:t>
      </w:r>
    </w:p>
    <w:bookmarkEnd w:id="8"/>
    <w:p w14:paraId="3A80E7A6" w14:textId="77777777" w:rsidR="00BF60AD" w:rsidRPr="00BF60AD" w:rsidRDefault="00BF60AD" w:rsidP="00BF60AD">
      <w:pPr>
        <w:spacing w:line="360" w:lineRule="auto"/>
        <w:rPr>
          <w:rFonts w:eastAsia="宋体" w:cs="Times New Roman"/>
          <w:sz w:val="24"/>
        </w:rPr>
      </w:pPr>
      <w:r w:rsidRPr="00BF60AD">
        <w:rPr>
          <w:rFonts w:cs="Times New Roman"/>
          <w:color w:val="0F1115"/>
          <w:sz w:val="24"/>
        </w:rPr>
        <w:lastRenderedPageBreak/>
        <w:br/>
      </w:r>
      <w:r w:rsidRPr="00BF60AD">
        <w:rPr>
          <w:rFonts w:eastAsia="Times New Roman" w:cs="Times New Roman"/>
          <w:sz w:val="24"/>
        </w:rPr>
        <w:t xml:space="preserve">Table </w:t>
      </w:r>
      <w:r w:rsidRPr="00BF60AD">
        <w:rPr>
          <w:rFonts w:eastAsiaTheme="minorEastAsia" w:cs="Times New Roman"/>
          <w:sz w:val="24"/>
        </w:rPr>
        <w:t>3</w:t>
      </w:r>
      <w:r w:rsidRPr="00BF60AD">
        <w:rPr>
          <w:rFonts w:eastAsia="Times New Roman" w:cs="Times New Roman"/>
          <w:sz w:val="24"/>
        </w:rPr>
        <w:t>.</w:t>
      </w:r>
      <w:r w:rsidRPr="00BF60AD">
        <w:rPr>
          <w:rFonts w:eastAsiaTheme="minorEastAsia" w:cs="Times New Roman"/>
          <w:sz w:val="24"/>
        </w:rPr>
        <w:t>2</w:t>
      </w:r>
      <w:r w:rsidRPr="00BF60AD">
        <w:rPr>
          <w:rFonts w:eastAsia="Times New Roman" w:cs="Times New Roman"/>
          <w:sz w:val="24"/>
        </w:rPr>
        <w:t>: Descriptive Statistics of Main Variables</w:t>
      </w:r>
    </w:p>
    <w:tbl>
      <w:tblPr>
        <w:tblStyle w:val="af1"/>
        <w:tblW w:w="0" w:type="auto"/>
        <w:tblLook w:val="04A0" w:firstRow="1" w:lastRow="0" w:firstColumn="1" w:lastColumn="0" w:noHBand="0" w:noVBand="1"/>
      </w:tblPr>
      <w:tblGrid>
        <w:gridCol w:w="2110"/>
        <w:gridCol w:w="1196"/>
        <w:gridCol w:w="1262"/>
        <w:gridCol w:w="1233"/>
        <w:gridCol w:w="1233"/>
        <w:gridCol w:w="1262"/>
      </w:tblGrid>
      <w:tr w:rsidR="00BF60AD" w:rsidRPr="00BF60AD" w14:paraId="4F093DFE" w14:textId="77777777" w:rsidTr="00774C53">
        <w:tc>
          <w:tcPr>
            <w:tcW w:w="2096" w:type="dxa"/>
          </w:tcPr>
          <w:p w14:paraId="7E438ED0" w14:textId="77777777" w:rsidR="00BF60AD" w:rsidRPr="00BF60AD" w:rsidRDefault="00BF60AD" w:rsidP="00BF60AD">
            <w:pPr>
              <w:spacing w:line="360" w:lineRule="auto"/>
              <w:rPr>
                <w:sz w:val="24"/>
                <w:szCs w:val="24"/>
              </w:rPr>
            </w:pPr>
            <w:r w:rsidRPr="00BF60AD">
              <w:rPr>
                <w:sz w:val="24"/>
                <w:szCs w:val="24"/>
              </w:rPr>
              <w:t>Variable</w:t>
            </w:r>
          </w:p>
        </w:tc>
        <w:tc>
          <w:tcPr>
            <w:tcW w:w="1382" w:type="dxa"/>
          </w:tcPr>
          <w:p w14:paraId="00CAB4A8" w14:textId="77777777" w:rsidR="00BF60AD" w:rsidRPr="00BF60AD" w:rsidRDefault="00BF60AD" w:rsidP="00BF60AD">
            <w:pPr>
              <w:spacing w:line="360" w:lineRule="auto"/>
              <w:rPr>
                <w:sz w:val="24"/>
                <w:szCs w:val="24"/>
              </w:rPr>
            </w:pPr>
            <w:proofErr w:type="spellStart"/>
            <w:r w:rsidRPr="00BF60AD">
              <w:rPr>
                <w:sz w:val="24"/>
                <w:szCs w:val="24"/>
              </w:rPr>
              <w:t>Obs</w:t>
            </w:r>
            <w:proofErr w:type="spellEnd"/>
          </w:p>
        </w:tc>
        <w:tc>
          <w:tcPr>
            <w:tcW w:w="1383" w:type="dxa"/>
          </w:tcPr>
          <w:p w14:paraId="7B814481" w14:textId="77777777" w:rsidR="00BF60AD" w:rsidRPr="00BF60AD" w:rsidRDefault="00BF60AD" w:rsidP="00BF60AD">
            <w:pPr>
              <w:spacing w:line="360" w:lineRule="auto"/>
              <w:rPr>
                <w:sz w:val="24"/>
                <w:szCs w:val="24"/>
              </w:rPr>
            </w:pPr>
            <w:r w:rsidRPr="00BF60AD">
              <w:rPr>
                <w:sz w:val="24"/>
                <w:szCs w:val="24"/>
              </w:rPr>
              <w:t>Mean</w:t>
            </w:r>
          </w:p>
        </w:tc>
        <w:tc>
          <w:tcPr>
            <w:tcW w:w="1383" w:type="dxa"/>
          </w:tcPr>
          <w:p w14:paraId="292E00E7" w14:textId="77777777" w:rsidR="00BF60AD" w:rsidRPr="00BF60AD" w:rsidRDefault="00BF60AD" w:rsidP="00BF60AD">
            <w:pPr>
              <w:spacing w:line="360" w:lineRule="auto"/>
              <w:rPr>
                <w:sz w:val="24"/>
                <w:szCs w:val="24"/>
              </w:rPr>
            </w:pPr>
            <w:r w:rsidRPr="00BF60AD">
              <w:rPr>
                <w:sz w:val="24"/>
                <w:szCs w:val="24"/>
              </w:rPr>
              <w:t>Std. Dev.</w:t>
            </w:r>
          </w:p>
        </w:tc>
        <w:tc>
          <w:tcPr>
            <w:tcW w:w="1383" w:type="dxa"/>
          </w:tcPr>
          <w:p w14:paraId="64E55C7B" w14:textId="77777777" w:rsidR="00BF60AD" w:rsidRPr="00BF60AD" w:rsidRDefault="00BF60AD" w:rsidP="00BF60AD">
            <w:pPr>
              <w:spacing w:line="360" w:lineRule="auto"/>
              <w:rPr>
                <w:sz w:val="24"/>
                <w:szCs w:val="24"/>
              </w:rPr>
            </w:pPr>
            <w:r w:rsidRPr="00BF60AD">
              <w:rPr>
                <w:sz w:val="24"/>
                <w:szCs w:val="24"/>
              </w:rPr>
              <w:t>Min</w:t>
            </w:r>
          </w:p>
        </w:tc>
        <w:tc>
          <w:tcPr>
            <w:tcW w:w="1383" w:type="dxa"/>
          </w:tcPr>
          <w:p w14:paraId="4E19CE39" w14:textId="77777777" w:rsidR="00BF60AD" w:rsidRPr="00BF60AD" w:rsidRDefault="00BF60AD" w:rsidP="00BF60AD">
            <w:pPr>
              <w:spacing w:line="360" w:lineRule="auto"/>
              <w:rPr>
                <w:sz w:val="24"/>
                <w:szCs w:val="24"/>
              </w:rPr>
            </w:pPr>
            <w:r w:rsidRPr="00BF60AD">
              <w:rPr>
                <w:sz w:val="24"/>
                <w:szCs w:val="24"/>
              </w:rPr>
              <w:t>Max</w:t>
            </w:r>
          </w:p>
        </w:tc>
      </w:tr>
      <w:tr w:rsidR="00BF60AD" w:rsidRPr="00BF60AD" w14:paraId="5FBC2885" w14:textId="77777777" w:rsidTr="00774C53">
        <w:tc>
          <w:tcPr>
            <w:tcW w:w="2096" w:type="dxa"/>
          </w:tcPr>
          <w:p w14:paraId="309C1895"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Export_Volume</w:t>
            </w:r>
            <w:proofErr w:type="spellEnd"/>
            <w:r w:rsidRPr="00BF60AD">
              <w:rPr>
                <w:sz w:val="24"/>
                <w:szCs w:val="24"/>
              </w:rPr>
              <w:t>)</w:t>
            </w:r>
          </w:p>
        </w:tc>
        <w:tc>
          <w:tcPr>
            <w:tcW w:w="1382" w:type="dxa"/>
          </w:tcPr>
          <w:p w14:paraId="6F67E7C3" w14:textId="77777777" w:rsidR="00BF60AD" w:rsidRPr="00BF60AD" w:rsidRDefault="00BF60AD" w:rsidP="00BF60AD">
            <w:pPr>
              <w:spacing w:line="360" w:lineRule="auto"/>
              <w:rPr>
                <w:sz w:val="24"/>
                <w:szCs w:val="24"/>
              </w:rPr>
            </w:pPr>
            <w:r w:rsidRPr="00BF60AD">
              <w:rPr>
                <w:sz w:val="24"/>
                <w:szCs w:val="24"/>
              </w:rPr>
              <w:t>84</w:t>
            </w:r>
          </w:p>
        </w:tc>
        <w:tc>
          <w:tcPr>
            <w:tcW w:w="1383" w:type="dxa"/>
          </w:tcPr>
          <w:p w14:paraId="003329AA" w14:textId="77777777" w:rsidR="00BF60AD" w:rsidRPr="00BF60AD" w:rsidRDefault="00BF60AD" w:rsidP="00BF60AD">
            <w:pPr>
              <w:spacing w:line="360" w:lineRule="auto"/>
              <w:rPr>
                <w:sz w:val="24"/>
                <w:szCs w:val="24"/>
              </w:rPr>
            </w:pPr>
            <w:r w:rsidRPr="00BF60AD">
              <w:rPr>
                <w:sz w:val="24"/>
                <w:szCs w:val="24"/>
              </w:rPr>
              <w:t>10.671</w:t>
            </w:r>
          </w:p>
        </w:tc>
        <w:tc>
          <w:tcPr>
            <w:tcW w:w="1383" w:type="dxa"/>
          </w:tcPr>
          <w:p w14:paraId="45D221F8" w14:textId="77777777" w:rsidR="00BF60AD" w:rsidRPr="00BF60AD" w:rsidRDefault="00BF60AD" w:rsidP="00BF60AD">
            <w:pPr>
              <w:spacing w:line="360" w:lineRule="auto"/>
              <w:rPr>
                <w:sz w:val="24"/>
                <w:szCs w:val="24"/>
              </w:rPr>
            </w:pPr>
            <w:r w:rsidRPr="00BF60AD">
              <w:rPr>
                <w:sz w:val="24"/>
                <w:szCs w:val="24"/>
              </w:rPr>
              <w:t>1.177</w:t>
            </w:r>
          </w:p>
        </w:tc>
        <w:tc>
          <w:tcPr>
            <w:tcW w:w="1383" w:type="dxa"/>
          </w:tcPr>
          <w:p w14:paraId="296DFE50" w14:textId="77777777" w:rsidR="00BF60AD" w:rsidRPr="00BF60AD" w:rsidRDefault="00BF60AD" w:rsidP="00BF60AD">
            <w:pPr>
              <w:spacing w:line="360" w:lineRule="auto"/>
              <w:rPr>
                <w:sz w:val="24"/>
                <w:szCs w:val="24"/>
              </w:rPr>
            </w:pPr>
            <w:r w:rsidRPr="00BF60AD">
              <w:rPr>
                <w:sz w:val="24"/>
                <w:szCs w:val="24"/>
              </w:rPr>
              <w:t>7.197</w:t>
            </w:r>
          </w:p>
        </w:tc>
        <w:tc>
          <w:tcPr>
            <w:tcW w:w="1383" w:type="dxa"/>
          </w:tcPr>
          <w:p w14:paraId="7BC21568" w14:textId="77777777" w:rsidR="00BF60AD" w:rsidRPr="00BF60AD" w:rsidRDefault="00BF60AD" w:rsidP="00BF60AD">
            <w:pPr>
              <w:spacing w:line="360" w:lineRule="auto"/>
              <w:rPr>
                <w:sz w:val="24"/>
                <w:szCs w:val="24"/>
              </w:rPr>
            </w:pPr>
            <w:r w:rsidRPr="00BF60AD">
              <w:rPr>
                <w:sz w:val="24"/>
                <w:szCs w:val="24"/>
              </w:rPr>
              <w:t>12.332</w:t>
            </w:r>
          </w:p>
        </w:tc>
      </w:tr>
      <w:tr w:rsidR="00BF60AD" w:rsidRPr="00BF60AD" w14:paraId="0C872176" w14:textId="77777777" w:rsidTr="00774C53">
        <w:tc>
          <w:tcPr>
            <w:tcW w:w="2096" w:type="dxa"/>
          </w:tcPr>
          <w:p w14:paraId="506B6C2E"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Export_Price</w:t>
            </w:r>
            <w:proofErr w:type="spellEnd"/>
            <w:r w:rsidRPr="00BF60AD">
              <w:rPr>
                <w:sz w:val="24"/>
                <w:szCs w:val="24"/>
              </w:rPr>
              <w:t>)</w:t>
            </w:r>
          </w:p>
        </w:tc>
        <w:tc>
          <w:tcPr>
            <w:tcW w:w="1382" w:type="dxa"/>
          </w:tcPr>
          <w:p w14:paraId="4421EFD6" w14:textId="77777777" w:rsidR="00BF60AD" w:rsidRPr="00BF60AD" w:rsidRDefault="00BF60AD" w:rsidP="00BF60AD">
            <w:pPr>
              <w:spacing w:line="360" w:lineRule="auto"/>
              <w:rPr>
                <w:sz w:val="24"/>
                <w:szCs w:val="24"/>
              </w:rPr>
            </w:pPr>
            <w:r w:rsidRPr="00BF60AD">
              <w:rPr>
                <w:sz w:val="24"/>
                <w:szCs w:val="24"/>
              </w:rPr>
              <w:t>84</w:t>
            </w:r>
          </w:p>
        </w:tc>
        <w:tc>
          <w:tcPr>
            <w:tcW w:w="1383" w:type="dxa"/>
          </w:tcPr>
          <w:p w14:paraId="64FAB763" w14:textId="77777777" w:rsidR="00BF60AD" w:rsidRPr="00BF60AD" w:rsidRDefault="00BF60AD" w:rsidP="00BF60AD">
            <w:pPr>
              <w:spacing w:line="360" w:lineRule="auto"/>
              <w:rPr>
                <w:sz w:val="24"/>
                <w:szCs w:val="24"/>
              </w:rPr>
            </w:pPr>
            <w:r w:rsidRPr="00BF60AD">
              <w:rPr>
                <w:sz w:val="24"/>
                <w:szCs w:val="24"/>
              </w:rPr>
              <w:t>2.163</w:t>
            </w:r>
          </w:p>
        </w:tc>
        <w:tc>
          <w:tcPr>
            <w:tcW w:w="1383" w:type="dxa"/>
          </w:tcPr>
          <w:p w14:paraId="015A3838" w14:textId="77777777" w:rsidR="00BF60AD" w:rsidRPr="00BF60AD" w:rsidRDefault="00BF60AD" w:rsidP="00BF60AD">
            <w:pPr>
              <w:spacing w:line="360" w:lineRule="auto"/>
              <w:rPr>
                <w:sz w:val="24"/>
                <w:szCs w:val="24"/>
              </w:rPr>
            </w:pPr>
            <w:r w:rsidRPr="00BF60AD">
              <w:rPr>
                <w:sz w:val="24"/>
                <w:szCs w:val="24"/>
              </w:rPr>
              <w:t>0.796</w:t>
            </w:r>
          </w:p>
        </w:tc>
        <w:tc>
          <w:tcPr>
            <w:tcW w:w="1383" w:type="dxa"/>
          </w:tcPr>
          <w:p w14:paraId="7D2B7B5B" w14:textId="77777777" w:rsidR="00BF60AD" w:rsidRPr="00BF60AD" w:rsidRDefault="00BF60AD" w:rsidP="00BF60AD">
            <w:pPr>
              <w:spacing w:line="360" w:lineRule="auto"/>
              <w:rPr>
                <w:sz w:val="24"/>
                <w:szCs w:val="24"/>
              </w:rPr>
            </w:pPr>
            <w:r w:rsidRPr="00BF60AD">
              <w:rPr>
                <w:sz w:val="24"/>
                <w:szCs w:val="24"/>
              </w:rPr>
              <w:t>0.155</w:t>
            </w:r>
          </w:p>
        </w:tc>
        <w:tc>
          <w:tcPr>
            <w:tcW w:w="1383" w:type="dxa"/>
          </w:tcPr>
          <w:p w14:paraId="0828490D" w14:textId="77777777" w:rsidR="00BF60AD" w:rsidRPr="00BF60AD" w:rsidRDefault="00BF60AD" w:rsidP="00BF60AD">
            <w:pPr>
              <w:spacing w:line="360" w:lineRule="auto"/>
              <w:rPr>
                <w:sz w:val="24"/>
                <w:szCs w:val="24"/>
              </w:rPr>
            </w:pPr>
            <w:r w:rsidRPr="00BF60AD">
              <w:rPr>
                <w:sz w:val="24"/>
                <w:szCs w:val="24"/>
              </w:rPr>
              <w:t>3.111</w:t>
            </w:r>
          </w:p>
        </w:tc>
      </w:tr>
      <w:tr w:rsidR="00BF60AD" w:rsidRPr="00BF60AD" w14:paraId="3F9EE1C6" w14:textId="77777777" w:rsidTr="00774C53">
        <w:tc>
          <w:tcPr>
            <w:tcW w:w="2096" w:type="dxa"/>
          </w:tcPr>
          <w:p w14:paraId="371B6603" w14:textId="77777777" w:rsidR="00BF60AD" w:rsidRPr="00BF60AD" w:rsidRDefault="00BF60AD" w:rsidP="00BF60AD">
            <w:pPr>
              <w:spacing w:line="360" w:lineRule="auto"/>
              <w:rPr>
                <w:sz w:val="24"/>
                <w:szCs w:val="24"/>
              </w:rPr>
            </w:pPr>
            <w:bookmarkStart w:id="9" w:name="_Hlk212653778"/>
            <w:r w:rsidRPr="00BF60AD">
              <w:rPr>
                <w:sz w:val="24"/>
                <w:szCs w:val="24"/>
              </w:rPr>
              <w:t>ln(</w:t>
            </w:r>
            <w:proofErr w:type="spellStart"/>
            <w:r w:rsidRPr="00BF60AD">
              <w:rPr>
                <w:sz w:val="24"/>
                <w:szCs w:val="24"/>
              </w:rPr>
              <w:t>Patent_Total</w:t>
            </w:r>
            <w:proofErr w:type="spellEnd"/>
            <w:r w:rsidRPr="00BF60AD">
              <w:rPr>
                <w:sz w:val="24"/>
                <w:szCs w:val="24"/>
              </w:rPr>
              <w:t>)</w:t>
            </w:r>
            <w:bookmarkEnd w:id="9"/>
          </w:p>
        </w:tc>
        <w:tc>
          <w:tcPr>
            <w:tcW w:w="1382" w:type="dxa"/>
          </w:tcPr>
          <w:p w14:paraId="31255922" w14:textId="77777777" w:rsidR="00BF60AD" w:rsidRPr="00BF60AD" w:rsidRDefault="00BF60AD" w:rsidP="00BF60AD">
            <w:pPr>
              <w:spacing w:line="360" w:lineRule="auto"/>
              <w:rPr>
                <w:sz w:val="24"/>
                <w:szCs w:val="24"/>
              </w:rPr>
            </w:pPr>
            <w:r w:rsidRPr="00BF60AD">
              <w:rPr>
                <w:sz w:val="24"/>
                <w:szCs w:val="24"/>
              </w:rPr>
              <w:t>84</w:t>
            </w:r>
          </w:p>
        </w:tc>
        <w:tc>
          <w:tcPr>
            <w:tcW w:w="1383" w:type="dxa"/>
          </w:tcPr>
          <w:p w14:paraId="00D9313E" w14:textId="77777777" w:rsidR="00BF60AD" w:rsidRPr="00BF60AD" w:rsidRDefault="00BF60AD" w:rsidP="00BF60AD">
            <w:pPr>
              <w:spacing w:line="360" w:lineRule="auto"/>
              <w:rPr>
                <w:sz w:val="24"/>
                <w:szCs w:val="24"/>
              </w:rPr>
            </w:pPr>
            <w:r w:rsidRPr="00BF60AD">
              <w:rPr>
                <w:sz w:val="24"/>
                <w:szCs w:val="24"/>
              </w:rPr>
              <w:t>8.819</w:t>
            </w:r>
          </w:p>
        </w:tc>
        <w:tc>
          <w:tcPr>
            <w:tcW w:w="1383" w:type="dxa"/>
          </w:tcPr>
          <w:p w14:paraId="2742BA5E" w14:textId="77777777" w:rsidR="00BF60AD" w:rsidRPr="00BF60AD" w:rsidRDefault="00BF60AD" w:rsidP="00BF60AD">
            <w:pPr>
              <w:spacing w:line="360" w:lineRule="auto"/>
              <w:rPr>
                <w:sz w:val="24"/>
                <w:szCs w:val="24"/>
              </w:rPr>
            </w:pPr>
            <w:r w:rsidRPr="00BF60AD">
              <w:rPr>
                <w:sz w:val="24"/>
                <w:szCs w:val="24"/>
              </w:rPr>
              <w:t>0.300</w:t>
            </w:r>
          </w:p>
        </w:tc>
        <w:tc>
          <w:tcPr>
            <w:tcW w:w="1383" w:type="dxa"/>
          </w:tcPr>
          <w:p w14:paraId="45F46D62" w14:textId="77777777" w:rsidR="00BF60AD" w:rsidRPr="00BF60AD" w:rsidRDefault="00BF60AD" w:rsidP="00BF60AD">
            <w:pPr>
              <w:spacing w:line="360" w:lineRule="auto"/>
              <w:rPr>
                <w:sz w:val="24"/>
                <w:szCs w:val="24"/>
              </w:rPr>
            </w:pPr>
            <w:r w:rsidRPr="00BF60AD">
              <w:rPr>
                <w:sz w:val="24"/>
                <w:szCs w:val="24"/>
              </w:rPr>
              <w:t>7.876</w:t>
            </w:r>
          </w:p>
        </w:tc>
        <w:tc>
          <w:tcPr>
            <w:tcW w:w="1383" w:type="dxa"/>
          </w:tcPr>
          <w:p w14:paraId="4D1527A6" w14:textId="77777777" w:rsidR="00BF60AD" w:rsidRPr="00BF60AD" w:rsidRDefault="00BF60AD" w:rsidP="00BF60AD">
            <w:pPr>
              <w:spacing w:line="360" w:lineRule="auto"/>
              <w:rPr>
                <w:sz w:val="24"/>
                <w:szCs w:val="24"/>
              </w:rPr>
            </w:pPr>
            <w:r w:rsidRPr="00BF60AD">
              <w:rPr>
                <w:sz w:val="24"/>
                <w:szCs w:val="24"/>
              </w:rPr>
              <w:t>9.466</w:t>
            </w:r>
          </w:p>
        </w:tc>
      </w:tr>
      <w:tr w:rsidR="00BF60AD" w:rsidRPr="00BF60AD" w14:paraId="686DFEE6" w14:textId="77777777" w:rsidTr="00774C53">
        <w:tc>
          <w:tcPr>
            <w:tcW w:w="2096" w:type="dxa"/>
          </w:tcPr>
          <w:p w14:paraId="4D4833EF" w14:textId="77777777" w:rsidR="00BF60AD" w:rsidRPr="00BF60AD" w:rsidRDefault="00BF60AD" w:rsidP="00BF60AD">
            <w:pPr>
              <w:spacing w:line="360" w:lineRule="auto"/>
              <w:rPr>
                <w:sz w:val="24"/>
                <w:szCs w:val="24"/>
              </w:rPr>
            </w:pPr>
            <w:proofErr w:type="spellStart"/>
            <w:r w:rsidRPr="00BF60AD">
              <w:rPr>
                <w:sz w:val="24"/>
                <w:szCs w:val="24"/>
              </w:rPr>
              <w:t>Innovation_Quality</w:t>
            </w:r>
            <w:proofErr w:type="spellEnd"/>
          </w:p>
        </w:tc>
        <w:tc>
          <w:tcPr>
            <w:tcW w:w="1382" w:type="dxa"/>
          </w:tcPr>
          <w:p w14:paraId="65FD2AD8" w14:textId="77777777" w:rsidR="00BF60AD" w:rsidRPr="00BF60AD" w:rsidRDefault="00BF60AD" w:rsidP="00BF60AD">
            <w:pPr>
              <w:spacing w:line="360" w:lineRule="auto"/>
              <w:rPr>
                <w:sz w:val="24"/>
                <w:szCs w:val="24"/>
              </w:rPr>
            </w:pPr>
            <w:r w:rsidRPr="00BF60AD">
              <w:rPr>
                <w:sz w:val="24"/>
                <w:szCs w:val="24"/>
              </w:rPr>
              <w:t>84</w:t>
            </w:r>
          </w:p>
        </w:tc>
        <w:tc>
          <w:tcPr>
            <w:tcW w:w="1383" w:type="dxa"/>
          </w:tcPr>
          <w:p w14:paraId="3C618433" w14:textId="77777777" w:rsidR="00BF60AD" w:rsidRPr="00BF60AD" w:rsidRDefault="00BF60AD" w:rsidP="00BF60AD">
            <w:pPr>
              <w:spacing w:line="360" w:lineRule="auto"/>
              <w:rPr>
                <w:sz w:val="24"/>
                <w:szCs w:val="24"/>
              </w:rPr>
            </w:pPr>
            <w:r w:rsidRPr="00BF60AD">
              <w:rPr>
                <w:sz w:val="24"/>
                <w:szCs w:val="24"/>
              </w:rPr>
              <w:t>0.012</w:t>
            </w:r>
          </w:p>
        </w:tc>
        <w:tc>
          <w:tcPr>
            <w:tcW w:w="1383" w:type="dxa"/>
          </w:tcPr>
          <w:p w14:paraId="0419694E" w14:textId="77777777" w:rsidR="00BF60AD" w:rsidRPr="00BF60AD" w:rsidRDefault="00BF60AD" w:rsidP="00BF60AD">
            <w:pPr>
              <w:spacing w:line="360" w:lineRule="auto"/>
              <w:rPr>
                <w:sz w:val="24"/>
                <w:szCs w:val="24"/>
              </w:rPr>
            </w:pPr>
            <w:r w:rsidRPr="00BF60AD">
              <w:rPr>
                <w:sz w:val="24"/>
                <w:szCs w:val="24"/>
              </w:rPr>
              <w:t>0.003</w:t>
            </w:r>
          </w:p>
        </w:tc>
        <w:tc>
          <w:tcPr>
            <w:tcW w:w="1383" w:type="dxa"/>
          </w:tcPr>
          <w:p w14:paraId="5DE98178" w14:textId="77777777" w:rsidR="00BF60AD" w:rsidRPr="00BF60AD" w:rsidRDefault="00BF60AD" w:rsidP="00BF60AD">
            <w:pPr>
              <w:spacing w:line="360" w:lineRule="auto"/>
              <w:rPr>
                <w:sz w:val="24"/>
                <w:szCs w:val="24"/>
              </w:rPr>
            </w:pPr>
            <w:r w:rsidRPr="00BF60AD">
              <w:rPr>
                <w:sz w:val="24"/>
                <w:szCs w:val="24"/>
              </w:rPr>
              <w:t>0.004</w:t>
            </w:r>
          </w:p>
        </w:tc>
        <w:tc>
          <w:tcPr>
            <w:tcW w:w="1383" w:type="dxa"/>
          </w:tcPr>
          <w:p w14:paraId="6218B1E8" w14:textId="77777777" w:rsidR="00BF60AD" w:rsidRPr="00BF60AD" w:rsidRDefault="00BF60AD" w:rsidP="00BF60AD">
            <w:pPr>
              <w:spacing w:line="360" w:lineRule="auto"/>
              <w:rPr>
                <w:sz w:val="24"/>
                <w:szCs w:val="24"/>
              </w:rPr>
            </w:pPr>
            <w:r w:rsidRPr="00BF60AD">
              <w:rPr>
                <w:sz w:val="24"/>
                <w:szCs w:val="24"/>
              </w:rPr>
              <w:t>0.022</w:t>
            </w:r>
          </w:p>
        </w:tc>
      </w:tr>
    </w:tbl>
    <w:p w14:paraId="5ED8B3CA" w14:textId="77777777" w:rsidR="00BF60AD" w:rsidRPr="00BF60AD" w:rsidRDefault="00BF60AD" w:rsidP="00BF60AD">
      <w:pPr>
        <w:spacing w:line="360" w:lineRule="auto"/>
        <w:rPr>
          <w:rFonts w:eastAsia="Times New Roman" w:cs="Times New Roman"/>
          <w:sz w:val="24"/>
        </w:rPr>
      </w:pPr>
      <w:bookmarkStart w:id="10" w:name="_Hlk216791790"/>
      <w:r w:rsidRPr="00BF60AD">
        <w:rPr>
          <w:rFonts w:eastAsia="Times New Roman" w:cs="Times New Roman"/>
          <w:sz w:val="24"/>
        </w:rPr>
        <w:t>Source:</w:t>
      </w:r>
      <w:r w:rsidRPr="00BF60AD">
        <w:rPr>
          <w:rFonts w:cs="Times New Roman"/>
          <w:sz w:val="24"/>
        </w:rPr>
        <w:t xml:space="preserve"> </w:t>
      </w:r>
      <w:bookmarkStart w:id="11" w:name="_Hlk215153414"/>
      <w:r w:rsidRPr="00BF60AD">
        <w:rPr>
          <w:rFonts w:eastAsia="Times New Roman" w:cs="Times New Roman"/>
          <w:sz w:val="24"/>
        </w:rPr>
        <w:t>General Administration of Customs of China</w:t>
      </w:r>
      <w:bookmarkEnd w:id="11"/>
      <w:r w:rsidRPr="00BF60AD">
        <w:rPr>
          <w:rFonts w:eastAsia="Times New Roman" w:cs="Times New Roman"/>
          <w:sz w:val="24"/>
        </w:rPr>
        <w:t xml:space="preserve">; China Association of Automobile Manufacturers; National Intellectual Property Administration; </w:t>
      </w:r>
      <w:proofErr w:type="spellStart"/>
      <w:r w:rsidRPr="00BF60AD">
        <w:rPr>
          <w:rFonts w:eastAsia="Times New Roman" w:cs="Times New Roman"/>
          <w:sz w:val="24"/>
        </w:rPr>
        <w:t>PatSnap</w:t>
      </w:r>
      <w:proofErr w:type="spellEnd"/>
      <w:r w:rsidRPr="00BF60AD">
        <w:rPr>
          <w:rFonts w:eastAsia="Times New Roman" w:cs="Times New Roman"/>
          <w:sz w:val="24"/>
        </w:rPr>
        <w:t>; compiled by the authors</w:t>
      </w:r>
    </w:p>
    <w:bookmarkEnd w:id="10"/>
    <w:p w14:paraId="3A763E59" w14:textId="77777777" w:rsidR="00BF60AD" w:rsidRPr="00BF60AD" w:rsidRDefault="00BF60AD" w:rsidP="00BF60AD">
      <w:pPr>
        <w:spacing w:line="360" w:lineRule="auto"/>
        <w:rPr>
          <w:rFonts w:eastAsiaTheme="minorEastAsia" w:cs="Times New Roman"/>
          <w:sz w:val="24"/>
        </w:rPr>
      </w:pPr>
    </w:p>
    <w:p w14:paraId="6542C0BC" w14:textId="77777777" w:rsidR="00BF60AD" w:rsidRPr="00BF60AD" w:rsidRDefault="00BF60AD" w:rsidP="00BF60AD">
      <w:pPr>
        <w:pStyle w:val="a9"/>
        <w:numPr>
          <w:ilvl w:val="0"/>
          <w:numId w:val="1"/>
        </w:numPr>
        <w:spacing w:line="360" w:lineRule="auto"/>
        <w:rPr>
          <w:rFonts w:eastAsia="Times New Roman" w:cs="Times New Roman"/>
          <w:b/>
          <w:sz w:val="24"/>
        </w:rPr>
      </w:pPr>
      <w:r w:rsidRPr="00BF60AD">
        <w:rPr>
          <w:rFonts w:eastAsia="Times New Roman" w:cs="Times New Roman"/>
          <w:b/>
          <w:sz w:val="24"/>
        </w:rPr>
        <w:t>Results and Discussion</w:t>
      </w:r>
    </w:p>
    <w:p w14:paraId="4CE8D56C"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To rigorously evaluate the driving influence of patent structure enhancement on export outcomes, this section initially performs stationarity examinations on the dataset. Subsequently, based on a stable Vector Autoregression model, the dynamic relationships among innovation quality, innovation quantity, export volume, and price are revealed through Granger causality tests, impulse response functions, and variance decomposition.</w:t>
      </w:r>
    </w:p>
    <w:p w14:paraId="1B506402" w14:textId="77777777" w:rsidR="00BF60AD" w:rsidRPr="00BF60AD" w:rsidRDefault="00BF60AD" w:rsidP="00BF60AD">
      <w:pPr>
        <w:spacing w:line="360" w:lineRule="auto"/>
        <w:rPr>
          <w:rFonts w:eastAsiaTheme="minorEastAsia" w:cs="Times New Roman"/>
          <w:sz w:val="24"/>
        </w:rPr>
      </w:pPr>
    </w:p>
    <w:p w14:paraId="7619570C" w14:textId="77777777" w:rsidR="00BF60AD" w:rsidRPr="00BF60AD" w:rsidRDefault="00BF60AD" w:rsidP="00BF60AD">
      <w:pPr>
        <w:pStyle w:val="a9"/>
        <w:spacing w:line="360" w:lineRule="auto"/>
        <w:ind w:left="0"/>
        <w:rPr>
          <w:rFonts w:eastAsiaTheme="minorEastAsia" w:cs="Times New Roman"/>
          <w:sz w:val="24"/>
        </w:rPr>
      </w:pPr>
      <w:r w:rsidRPr="00BF60AD">
        <w:rPr>
          <w:rFonts w:eastAsia="宋体" w:cs="Times New Roman"/>
          <w:b/>
          <w:bCs/>
          <w:sz w:val="24"/>
        </w:rPr>
        <w:t>4.1. Stationarity Test and Model Specification</w:t>
      </w:r>
    </w:p>
    <w:p w14:paraId="452D5BA6"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Using non-stationary time series directly in regression may lead to spurious results. The ADF test results (see Table 2) indicate that the original level series and their first differences are non-stationary, as the null hypothesis of a unit root cannot be rejected. However, the second-difference series of all variables are stationary at the 1% significance level, confirming they are I(2) processes.</w:t>
      </w:r>
    </w:p>
    <w:p w14:paraId="7821C58B" w14:textId="77777777" w:rsidR="00BF60AD" w:rsidRPr="00BF60AD" w:rsidRDefault="00BF60AD" w:rsidP="00BF60AD">
      <w:pPr>
        <w:spacing w:line="360" w:lineRule="auto"/>
        <w:ind w:firstLineChars="100" w:firstLine="240"/>
        <w:rPr>
          <w:rFonts w:eastAsiaTheme="minorEastAsia" w:cs="Times New Roman"/>
          <w:sz w:val="24"/>
        </w:rPr>
      </w:pPr>
    </w:p>
    <w:p w14:paraId="42A46852" w14:textId="77777777" w:rsidR="00BF60AD" w:rsidRPr="00BF60AD" w:rsidRDefault="00BF60AD" w:rsidP="00BF60AD">
      <w:pPr>
        <w:spacing w:line="360" w:lineRule="auto"/>
        <w:rPr>
          <w:rFonts w:eastAsia="宋体" w:cs="Times New Roman"/>
          <w:sz w:val="24"/>
        </w:rPr>
      </w:pPr>
      <w:r w:rsidRPr="00BF60AD">
        <w:rPr>
          <w:rFonts w:eastAsia="Times New Roman" w:cs="Times New Roman"/>
          <w:sz w:val="24"/>
        </w:rPr>
        <w:t xml:space="preserve">Table </w:t>
      </w:r>
      <w:r w:rsidRPr="00BF60AD">
        <w:rPr>
          <w:rFonts w:eastAsiaTheme="minorEastAsia" w:cs="Times New Roman"/>
          <w:sz w:val="24"/>
        </w:rPr>
        <w:t>4</w:t>
      </w:r>
      <w:r w:rsidRPr="00BF60AD">
        <w:rPr>
          <w:rFonts w:eastAsia="Times New Roman" w:cs="Times New Roman"/>
          <w:sz w:val="24"/>
        </w:rPr>
        <w:t>.1: ADF Unit Root Test Results</w:t>
      </w:r>
    </w:p>
    <w:tbl>
      <w:tblPr>
        <w:tblStyle w:val="21"/>
        <w:tblW w:w="10598" w:type="dxa"/>
        <w:tblBorders>
          <w:top w:val="single" w:sz="12" w:space="0" w:color="auto"/>
          <w:bottom w:val="single" w:sz="12" w:space="0" w:color="auto"/>
        </w:tblBorders>
        <w:tblLayout w:type="fixed"/>
        <w:tblLook w:val="04A0" w:firstRow="1" w:lastRow="0" w:firstColumn="1" w:lastColumn="0" w:noHBand="0" w:noVBand="1"/>
      </w:tblPr>
      <w:tblGrid>
        <w:gridCol w:w="2518"/>
        <w:gridCol w:w="1276"/>
        <w:gridCol w:w="1276"/>
        <w:gridCol w:w="1275"/>
        <w:gridCol w:w="1276"/>
        <w:gridCol w:w="1276"/>
        <w:gridCol w:w="1701"/>
      </w:tblGrid>
      <w:tr w:rsidR="00BF60AD" w:rsidRPr="00BF60AD" w14:paraId="70CD044A" w14:textId="77777777" w:rsidTr="00774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auto"/>
              <w:bottom w:val="single" w:sz="4" w:space="0" w:color="auto"/>
            </w:tcBorders>
          </w:tcPr>
          <w:p w14:paraId="3842F12C" w14:textId="77777777" w:rsidR="00BF60AD" w:rsidRPr="00BF60AD" w:rsidRDefault="00BF60AD" w:rsidP="00BF60AD">
            <w:pPr>
              <w:spacing w:line="360" w:lineRule="auto"/>
              <w:rPr>
                <w:b w:val="0"/>
                <w:bCs w:val="0"/>
                <w:sz w:val="24"/>
                <w:szCs w:val="24"/>
              </w:rPr>
            </w:pPr>
            <w:r w:rsidRPr="00BF60AD">
              <w:rPr>
                <w:b w:val="0"/>
                <w:bCs w:val="0"/>
                <w:sz w:val="24"/>
                <w:szCs w:val="24"/>
              </w:rPr>
              <w:t>Variable</w:t>
            </w:r>
          </w:p>
        </w:tc>
        <w:tc>
          <w:tcPr>
            <w:tcW w:w="1276" w:type="dxa"/>
            <w:tcBorders>
              <w:top w:val="single" w:sz="12" w:space="0" w:color="auto"/>
              <w:bottom w:val="single" w:sz="4" w:space="0" w:color="auto"/>
            </w:tcBorders>
          </w:tcPr>
          <w:p w14:paraId="7B2B0796" w14:textId="77777777" w:rsidR="00BF60AD" w:rsidRPr="00BF60AD" w:rsidRDefault="00BF60AD" w:rsidP="00BF60AD">
            <w:pPr>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F60AD">
              <w:rPr>
                <w:b w:val="0"/>
                <w:bCs w:val="0"/>
                <w:sz w:val="24"/>
                <w:szCs w:val="24"/>
              </w:rPr>
              <w:t>t-Statistic</w:t>
            </w:r>
          </w:p>
        </w:tc>
        <w:tc>
          <w:tcPr>
            <w:tcW w:w="1276" w:type="dxa"/>
            <w:tcBorders>
              <w:top w:val="single" w:sz="12" w:space="0" w:color="auto"/>
              <w:bottom w:val="single" w:sz="4" w:space="0" w:color="auto"/>
            </w:tcBorders>
          </w:tcPr>
          <w:p w14:paraId="3CCF0732" w14:textId="77777777" w:rsidR="00BF60AD" w:rsidRPr="00BF60AD" w:rsidRDefault="00BF60AD" w:rsidP="00BF60AD">
            <w:pPr>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F60AD">
              <w:rPr>
                <w:b w:val="0"/>
                <w:bCs w:val="0"/>
                <w:sz w:val="24"/>
                <w:szCs w:val="24"/>
              </w:rPr>
              <w:t>Prob.</w:t>
            </w:r>
          </w:p>
        </w:tc>
        <w:tc>
          <w:tcPr>
            <w:tcW w:w="1275" w:type="dxa"/>
            <w:tcBorders>
              <w:top w:val="single" w:sz="12" w:space="0" w:color="auto"/>
              <w:bottom w:val="single" w:sz="4" w:space="0" w:color="auto"/>
            </w:tcBorders>
          </w:tcPr>
          <w:p w14:paraId="6D53CCD2" w14:textId="77777777" w:rsidR="00BF60AD" w:rsidRPr="00BF60AD" w:rsidRDefault="00BF60AD" w:rsidP="00BF60AD">
            <w:pPr>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F60AD">
              <w:rPr>
                <w:b w:val="0"/>
                <w:bCs w:val="0"/>
                <w:sz w:val="24"/>
                <w:szCs w:val="24"/>
              </w:rPr>
              <w:t>1% Level</w:t>
            </w:r>
          </w:p>
        </w:tc>
        <w:tc>
          <w:tcPr>
            <w:tcW w:w="1276" w:type="dxa"/>
            <w:tcBorders>
              <w:top w:val="single" w:sz="12" w:space="0" w:color="auto"/>
              <w:bottom w:val="single" w:sz="4" w:space="0" w:color="auto"/>
            </w:tcBorders>
          </w:tcPr>
          <w:p w14:paraId="42E59551" w14:textId="77777777" w:rsidR="00BF60AD" w:rsidRPr="00BF60AD" w:rsidRDefault="00BF60AD" w:rsidP="00BF60AD">
            <w:pPr>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F60AD">
              <w:rPr>
                <w:b w:val="0"/>
                <w:bCs w:val="0"/>
                <w:sz w:val="24"/>
                <w:szCs w:val="24"/>
              </w:rPr>
              <w:t>5% Level</w:t>
            </w:r>
          </w:p>
        </w:tc>
        <w:tc>
          <w:tcPr>
            <w:tcW w:w="1276" w:type="dxa"/>
            <w:tcBorders>
              <w:top w:val="single" w:sz="12" w:space="0" w:color="auto"/>
              <w:bottom w:val="single" w:sz="4" w:space="0" w:color="auto"/>
            </w:tcBorders>
          </w:tcPr>
          <w:p w14:paraId="7C9E1605" w14:textId="77777777" w:rsidR="00BF60AD" w:rsidRPr="00BF60AD" w:rsidRDefault="00BF60AD" w:rsidP="00BF60AD">
            <w:pPr>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F60AD">
              <w:rPr>
                <w:b w:val="0"/>
                <w:bCs w:val="0"/>
                <w:sz w:val="24"/>
                <w:szCs w:val="24"/>
              </w:rPr>
              <w:t>10% Level</w:t>
            </w:r>
          </w:p>
        </w:tc>
        <w:tc>
          <w:tcPr>
            <w:tcW w:w="1701" w:type="dxa"/>
            <w:tcBorders>
              <w:top w:val="single" w:sz="12" w:space="0" w:color="auto"/>
              <w:bottom w:val="single" w:sz="4" w:space="0" w:color="auto"/>
            </w:tcBorders>
          </w:tcPr>
          <w:p w14:paraId="57BFB69A" w14:textId="77777777" w:rsidR="00BF60AD" w:rsidRPr="00BF60AD" w:rsidRDefault="00BF60AD" w:rsidP="00BF60AD">
            <w:pPr>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F60AD">
              <w:rPr>
                <w:b w:val="0"/>
                <w:bCs w:val="0"/>
                <w:sz w:val="24"/>
                <w:szCs w:val="24"/>
              </w:rPr>
              <w:t>Result</w:t>
            </w:r>
          </w:p>
        </w:tc>
      </w:tr>
      <w:tr w:rsidR="00BF60AD" w:rsidRPr="00BF60AD" w14:paraId="4C88020D" w14:textId="77777777" w:rsidTr="007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nil"/>
            </w:tcBorders>
          </w:tcPr>
          <w:p w14:paraId="042A7CA1" w14:textId="77777777" w:rsidR="00BF60AD" w:rsidRPr="00BF60AD" w:rsidRDefault="00BF60AD" w:rsidP="00BF60AD">
            <w:pPr>
              <w:spacing w:line="360" w:lineRule="auto"/>
              <w:rPr>
                <w:b w:val="0"/>
                <w:bCs w:val="0"/>
                <w:sz w:val="24"/>
                <w:szCs w:val="24"/>
              </w:rPr>
            </w:pPr>
            <w:r w:rsidRPr="00BF60AD">
              <w:rPr>
                <w:b w:val="0"/>
                <w:bCs w:val="0"/>
                <w:sz w:val="24"/>
                <w:szCs w:val="24"/>
              </w:rPr>
              <w:t>ln(</w:t>
            </w:r>
            <w:proofErr w:type="spellStart"/>
            <w:r w:rsidRPr="00BF60AD">
              <w:rPr>
                <w:b w:val="0"/>
                <w:bCs w:val="0"/>
                <w:sz w:val="24"/>
                <w:szCs w:val="24"/>
              </w:rPr>
              <w:t>Export_Volume</w:t>
            </w:r>
            <w:proofErr w:type="spellEnd"/>
            <w:r w:rsidRPr="00BF60AD">
              <w:rPr>
                <w:b w:val="0"/>
                <w:bCs w:val="0"/>
                <w:sz w:val="24"/>
                <w:szCs w:val="24"/>
              </w:rPr>
              <w:t>)</w:t>
            </w:r>
          </w:p>
        </w:tc>
        <w:tc>
          <w:tcPr>
            <w:tcW w:w="1276" w:type="dxa"/>
            <w:tcBorders>
              <w:top w:val="single" w:sz="4" w:space="0" w:color="auto"/>
              <w:bottom w:val="nil"/>
            </w:tcBorders>
          </w:tcPr>
          <w:p w14:paraId="6CFBD59F"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-1.692</w:t>
            </w:r>
          </w:p>
        </w:tc>
        <w:tc>
          <w:tcPr>
            <w:tcW w:w="1276" w:type="dxa"/>
            <w:tcBorders>
              <w:top w:val="single" w:sz="4" w:space="0" w:color="auto"/>
              <w:bottom w:val="nil"/>
            </w:tcBorders>
          </w:tcPr>
          <w:p w14:paraId="143F2A41"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0.435</w:t>
            </w:r>
          </w:p>
        </w:tc>
        <w:tc>
          <w:tcPr>
            <w:tcW w:w="1275" w:type="dxa"/>
            <w:tcBorders>
              <w:top w:val="single" w:sz="4" w:space="0" w:color="auto"/>
              <w:bottom w:val="nil"/>
            </w:tcBorders>
          </w:tcPr>
          <w:p w14:paraId="5644ABE5"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-3.514</w:t>
            </w:r>
          </w:p>
        </w:tc>
        <w:tc>
          <w:tcPr>
            <w:tcW w:w="1276" w:type="dxa"/>
            <w:tcBorders>
              <w:top w:val="single" w:sz="4" w:space="0" w:color="auto"/>
              <w:bottom w:val="nil"/>
            </w:tcBorders>
          </w:tcPr>
          <w:p w14:paraId="23835772"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-2.898</w:t>
            </w:r>
          </w:p>
        </w:tc>
        <w:tc>
          <w:tcPr>
            <w:tcW w:w="1276" w:type="dxa"/>
            <w:tcBorders>
              <w:top w:val="single" w:sz="4" w:space="0" w:color="auto"/>
              <w:bottom w:val="nil"/>
            </w:tcBorders>
          </w:tcPr>
          <w:p w14:paraId="00BE6F6F"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-2.586</w:t>
            </w:r>
          </w:p>
        </w:tc>
        <w:tc>
          <w:tcPr>
            <w:tcW w:w="1701" w:type="dxa"/>
            <w:tcBorders>
              <w:top w:val="single" w:sz="4" w:space="0" w:color="auto"/>
              <w:bottom w:val="nil"/>
            </w:tcBorders>
          </w:tcPr>
          <w:p w14:paraId="24C59F96"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Non-stationary</w:t>
            </w:r>
          </w:p>
        </w:tc>
      </w:tr>
      <w:tr w:rsidR="00BF60AD" w:rsidRPr="00BF60AD" w14:paraId="44F8EF2E" w14:textId="77777777" w:rsidTr="00774C53">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18C399C9" w14:textId="77777777" w:rsidR="00BF60AD" w:rsidRPr="00BF60AD" w:rsidRDefault="00BF60AD" w:rsidP="00BF60AD">
            <w:pPr>
              <w:spacing w:line="360" w:lineRule="auto"/>
              <w:rPr>
                <w:b w:val="0"/>
                <w:bCs w:val="0"/>
                <w:sz w:val="24"/>
                <w:szCs w:val="24"/>
              </w:rPr>
            </w:pPr>
            <w:proofErr w:type="spellStart"/>
            <w:r w:rsidRPr="00BF60AD">
              <w:rPr>
                <w:b w:val="0"/>
                <w:bCs w:val="0"/>
                <w:sz w:val="24"/>
                <w:szCs w:val="24"/>
              </w:rPr>
              <w:lastRenderedPageBreak/>
              <w:t>dln</w:t>
            </w:r>
            <w:proofErr w:type="spellEnd"/>
            <w:r w:rsidRPr="00BF60AD">
              <w:rPr>
                <w:b w:val="0"/>
                <w:bCs w:val="0"/>
                <w:sz w:val="24"/>
                <w:szCs w:val="24"/>
              </w:rPr>
              <w:t>(</w:t>
            </w:r>
            <w:proofErr w:type="spellStart"/>
            <w:r w:rsidRPr="00BF60AD">
              <w:rPr>
                <w:b w:val="0"/>
                <w:bCs w:val="0"/>
                <w:sz w:val="24"/>
                <w:szCs w:val="24"/>
              </w:rPr>
              <w:t>Export_Volume</w:t>
            </w:r>
            <w:proofErr w:type="spellEnd"/>
            <w:r w:rsidRPr="00BF60AD">
              <w:rPr>
                <w:b w:val="0"/>
                <w:bCs w:val="0"/>
                <w:sz w:val="24"/>
                <w:szCs w:val="24"/>
              </w:rPr>
              <w:t>)</w:t>
            </w:r>
          </w:p>
        </w:tc>
        <w:tc>
          <w:tcPr>
            <w:tcW w:w="1276" w:type="dxa"/>
            <w:tcBorders>
              <w:top w:val="nil"/>
              <w:bottom w:val="nil"/>
            </w:tcBorders>
          </w:tcPr>
          <w:p w14:paraId="22EF62DA"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-8.780</w:t>
            </w:r>
          </w:p>
        </w:tc>
        <w:tc>
          <w:tcPr>
            <w:tcW w:w="1276" w:type="dxa"/>
            <w:tcBorders>
              <w:top w:val="nil"/>
              <w:bottom w:val="nil"/>
            </w:tcBorders>
          </w:tcPr>
          <w:p w14:paraId="54B00CD3"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0.000 ***</w:t>
            </w:r>
          </w:p>
        </w:tc>
        <w:tc>
          <w:tcPr>
            <w:tcW w:w="1275" w:type="dxa"/>
            <w:tcBorders>
              <w:top w:val="nil"/>
              <w:bottom w:val="nil"/>
            </w:tcBorders>
          </w:tcPr>
          <w:p w14:paraId="00E8ED5F"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-3.514</w:t>
            </w:r>
          </w:p>
        </w:tc>
        <w:tc>
          <w:tcPr>
            <w:tcW w:w="1276" w:type="dxa"/>
            <w:tcBorders>
              <w:top w:val="nil"/>
              <w:bottom w:val="nil"/>
            </w:tcBorders>
          </w:tcPr>
          <w:p w14:paraId="02E70C83"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-2.898</w:t>
            </w:r>
          </w:p>
        </w:tc>
        <w:tc>
          <w:tcPr>
            <w:tcW w:w="1276" w:type="dxa"/>
            <w:tcBorders>
              <w:top w:val="nil"/>
              <w:bottom w:val="nil"/>
            </w:tcBorders>
          </w:tcPr>
          <w:p w14:paraId="74D7BD80"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-2.586</w:t>
            </w:r>
          </w:p>
        </w:tc>
        <w:tc>
          <w:tcPr>
            <w:tcW w:w="1701" w:type="dxa"/>
            <w:tcBorders>
              <w:top w:val="nil"/>
              <w:bottom w:val="nil"/>
            </w:tcBorders>
          </w:tcPr>
          <w:p w14:paraId="138DE0E2"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Stationary</w:t>
            </w:r>
          </w:p>
        </w:tc>
      </w:tr>
      <w:tr w:rsidR="00BF60AD" w:rsidRPr="00BF60AD" w14:paraId="3746D8F9" w14:textId="77777777" w:rsidTr="007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1CFC9094" w14:textId="77777777" w:rsidR="00BF60AD" w:rsidRPr="00BF60AD" w:rsidRDefault="00BF60AD" w:rsidP="00BF60AD">
            <w:pPr>
              <w:spacing w:line="360" w:lineRule="auto"/>
              <w:rPr>
                <w:b w:val="0"/>
                <w:bCs w:val="0"/>
                <w:sz w:val="24"/>
                <w:szCs w:val="24"/>
              </w:rPr>
            </w:pPr>
            <w:proofErr w:type="spellStart"/>
            <w:r w:rsidRPr="00BF60AD">
              <w:rPr>
                <w:b w:val="0"/>
                <w:bCs w:val="0"/>
                <w:sz w:val="24"/>
                <w:szCs w:val="24"/>
              </w:rPr>
              <w:t>ddln</w:t>
            </w:r>
            <w:proofErr w:type="spellEnd"/>
            <w:r w:rsidRPr="00BF60AD">
              <w:rPr>
                <w:b w:val="0"/>
                <w:bCs w:val="0"/>
                <w:sz w:val="24"/>
                <w:szCs w:val="24"/>
              </w:rPr>
              <w:t>(</w:t>
            </w:r>
            <w:proofErr w:type="spellStart"/>
            <w:r w:rsidRPr="00BF60AD">
              <w:rPr>
                <w:b w:val="0"/>
                <w:bCs w:val="0"/>
                <w:sz w:val="24"/>
                <w:szCs w:val="24"/>
              </w:rPr>
              <w:t>Export_Volume</w:t>
            </w:r>
            <w:proofErr w:type="spellEnd"/>
            <w:r w:rsidRPr="00BF60AD">
              <w:rPr>
                <w:b w:val="0"/>
                <w:bCs w:val="0"/>
                <w:sz w:val="24"/>
                <w:szCs w:val="24"/>
              </w:rPr>
              <w:t>)*</w:t>
            </w:r>
          </w:p>
        </w:tc>
        <w:tc>
          <w:tcPr>
            <w:tcW w:w="1276" w:type="dxa"/>
            <w:tcBorders>
              <w:top w:val="nil"/>
              <w:bottom w:val="nil"/>
            </w:tcBorders>
          </w:tcPr>
          <w:p w14:paraId="20434194"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-5.735</w:t>
            </w:r>
          </w:p>
        </w:tc>
        <w:tc>
          <w:tcPr>
            <w:tcW w:w="1276" w:type="dxa"/>
            <w:tcBorders>
              <w:top w:val="nil"/>
              <w:bottom w:val="nil"/>
            </w:tcBorders>
          </w:tcPr>
          <w:p w14:paraId="4F378D00"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0.000 ***</w:t>
            </w:r>
          </w:p>
        </w:tc>
        <w:tc>
          <w:tcPr>
            <w:tcW w:w="1275" w:type="dxa"/>
            <w:tcBorders>
              <w:top w:val="nil"/>
              <w:bottom w:val="nil"/>
            </w:tcBorders>
          </w:tcPr>
          <w:p w14:paraId="212928B8"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-3.527</w:t>
            </w:r>
          </w:p>
        </w:tc>
        <w:tc>
          <w:tcPr>
            <w:tcW w:w="1276" w:type="dxa"/>
            <w:tcBorders>
              <w:top w:val="nil"/>
              <w:bottom w:val="nil"/>
            </w:tcBorders>
          </w:tcPr>
          <w:p w14:paraId="430BEE04"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-2.904</w:t>
            </w:r>
          </w:p>
        </w:tc>
        <w:tc>
          <w:tcPr>
            <w:tcW w:w="1276" w:type="dxa"/>
            <w:tcBorders>
              <w:top w:val="nil"/>
              <w:bottom w:val="nil"/>
            </w:tcBorders>
          </w:tcPr>
          <w:p w14:paraId="3BB6DAC2"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-2.589</w:t>
            </w:r>
          </w:p>
        </w:tc>
        <w:tc>
          <w:tcPr>
            <w:tcW w:w="1701" w:type="dxa"/>
            <w:tcBorders>
              <w:top w:val="nil"/>
              <w:bottom w:val="nil"/>
            </w:tcBorders>
          </w:tcPr>
          <w:p w14:paraId="70F30D01"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Stationary</w:t>
            </w:r>
          </w:p>
        </w:tc>
      </w:tr>
      <w:tr w:rsidR="00BF60AD" w:rsidRPr="00BF60AD" w14:paraId="31C96555" w14:textId="77777777" w:rsidTr="00774C53">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33FE9ACE" w14:textId="77777777" w:rsidR="00BF60AD" w:rsidRPr="00BF60AD" w:rsidRDefault="00BF60AD" w:rsidP="00BF60AD">
            <w:pPr>
              <w:spacing w:line="360" w:lineRule="auto"/>
              <w:rPr>
                <w:b w:val="0"/>
                <w:bCs w:val="0"/>
                <w:sz w:val="24"/>
                <w:szCs w:val="24"/>
              </w:rPr>
            </w:pPr>
            <w:r w:rsidRPr="00BF60AD">
              <w:rPr>
                <w:b w:val="0"/>
                <w:bCs w:val="0"/>
                <w:sz w:val="24"/>
                <w:szCs w:val="24"/>
              </w:rPr>
              <w:t>ln(</w:t>
            </w:r>
            <w:proofErr w:type="spellStart"/>
            <w:r w:rsidRPr="00BF60AD">
              <w:rPr>
                <w:b w:val="0"/>
                <w:bCs w:val="0"/>
                <w:sz w:val="24"/>
                <w:szCs w:val="24"/>
              </w:rPr>
              <w:t>Export_Price</w:t>
            </w:r>
            <w:proofErr w:type="spellEnd"/>
            <w:r w:rsidRPr="00BF60AD">
              <w:rPr>
                <w:b w:val="0"/>
                <w:bCs w:val="0"/>
                <w:sz w:val="24"/>
                <w:szCs w:val="24"/>
              </w:rPr>
              <w:t>)</w:t>
            </w:r>
          </w:p>
        </w:tc>
        <w:tc>
          <w:tcPr>
            <w:tcW w:w="1276" w:type="dxa"/>
            <w:tcBorders>
              <w:top w:val="nil"/>
              <w:bottom w:val="nil"/>
            </w:tcBorders>
          </w:tcPr>
          <w:p w14:paraId="49859C37"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-2.004</w:t>
            </w:r>
          </w:p>
        </w:tc>
        <w:tc>
          <w:tcPr>
            <w:tcW w:w="1276" w:type="dxa"/>
            <w:tcBorders>
              <w:top w:val="nil"/>
              <w:bottom w:val="nil"/>
            </w:tcBorders>
          </w:tcPr>
          <w:p w14:paraId="25C6B97B"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0.285</w:t>
            </w:r>
          </w:p>
        </w:tc>
        <w:tc>
          <w:tcPr>
            <w:tcW w:w="1275" w:type="dxa"/>
            <w:tcBorders>
              <w:top w:val="nil"/>
              <w:bottom w:val="nil"/>
            </w:tcBorders>
          </w:tcPr>
          <w:p w14:paraId="53C672CF"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-3.513</w:t>
            </w:r>
          </w:p>
        </w:tc>
        <w:tc>
          <w:tcPr>
            <w:tcW w:w="1276" w:type="dxa"/>
            <w:tcBorders>
              <w:top w:val="nil"/>
              <w:bottom w:val="nil"/>
            </w:tcBorders>
          </w:tcPr>
          <w:p w14:paraId="7F2F41D7"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-2.897</w:t>
            </w:r>
          </w:p>
        </w:tc>
        <w:tc>
          <w:tcPr>
            <w:tcW w:w="1276" w:type="dxa"/>
            <w:tcBorders>
              <w:top w:val="nil"/>
              <w:bottom w:val="nil"/>
            </w:tcBorders>
          </w:tcPr>
          <w:p w14:paraId="52FDE2B8"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-2.586</w:t>
            </w:r>
          </w:p>
        </w:tc>
        <w:tc>
          <w:tcPr>
            <w:tcW w:w="1701" w:type="dxa"/>
            <w:tcBorders>
              <w:top w:val="nil"/>
              <w:bottom w:val="nil"/>
            </w:tcBorders>
          </w:tcPr>
          <w:p w14:paraId="70EF9238"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Non-stationary</w:t>
            </w:r>
          </w:p>
        </w:tc>
      </w:tr>
      <w:tr w:rsidR="00BF60AD" w:rsidRPr="00BF60AD" w14:paraId="61090156" w14:textId="77777777" w:rsidTr="007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16413271" w14:textId="77777777" w:rsidR="00BF60AD" w:rsidRPr="00BF60AD" w:rsidRDefault="00BF60AD" w:rsidP="00BF60AD">
            <w:pPr>
              <w:spacing w:line="360" w:lineRule="auto"/>
              <w:rPr>
                <w:b w:val="0"/>
                <w:bCs w:val="0"/>
                <w:sz w:val="24"/>
                <w:szCs w:val="24"/>
              </w:rPr>
            </w:pPr>
            <w:r w:rsidRPr="00BF60AD">
              <w:rPr>
                <w:b w:val="0"/>
                <w:bCs w:val="0"/>
                <w:sz w:val="24"/>
                <w:szCs w:val="24"/>
              </w:rPr>
              <w:t>d ln(</w:t>
            </w:r>
            <w:proofErr w:type="spellStart"/>
            <w:r w:rsidRPr="00BF60AD">
              <w:rPr>
                <w:b w:val="0"/>
                <w:bCs w:val="0"/>
                <w:sz w:val="24"/>
                <w:szCs w:val="24"/>
              </w:rPr>
              <w:t>Export_Price</w:t>
            </w:r>
            <w:proofErr w:type="spellEnd"/>
            <w:r w:rsidRPr="00BF60AD">
              <w:rPr>
                <w:b w:val="0"/>
                <w:bCs w:val="0"/>
                <w:sz w:val="24"/>
                <w:szCs w:val="24"/>
              </w:rPr>
              <w:t>)</w:t>
            </w:r>
          </w:p>
        </w:tc>
        <w:tc>
          <w:tcPr>
            <w:tcW w:w="1276" w:type="dxa"/>
            <w:tcBorders>
              <w:top w:val="nil"/>
              <w:bottom w:val="nil"/>
            </w:tcBorders>
          </w:tcPr>
          <w:p w14:paraId="5E38D43E"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-15.303</w:t>
            </w:r>
          </w:p>
        </w:tc>
        <w:tc>
          <w:tcPr>
            <w:tcW w:w="1276" w:type="dxa"/>
            <w:tcBorders>
              <w:top w:val="nil"/>
              <w:bottom w:val="nil"/>
            </w:tcBorders>
          </w:tcPr>
          <w:p w14:paraId="45333B65"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0.000 ***</w:t>
            </w:r>
          </w:p>
        </w:tc>
        <w:tc>
          <w:tcPr>
            <w:tcW w:w="1275" w:type="dxa"/>
            <w:tcBorders>
              <w:top w:val="nil"/>
              <w:bottom w:val="nil"/>
            </w:tcBorders>
          </w:tcPr>
          <w:p w14:paraId="597A689B"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-3.513</w:t>
            </w:r>
          </w:p>
        </w:tc>
        <w:tc>
          <w:tcPr>
            <w:tcW w:w="1276" w:type="dxa"/>
            <w:tcBorders>
              <w:top w:val="nil"/>
              <w:bottom w:val="nil"/>
            </w:tcBorders>
          </w:tcPr>
          <w:p w14:paraId="480BF71F"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-2.897</w:t>
            </w:r>
          </w:p>
        </w:tc>
        <w:tc>
          <w:tcPr>
            <w:tcW w:w="1276" w:type="dxa"/>
            <w:tcBorders>
              <w:top w:val="nil"/>
              <w:bottom w:val="nil"/>
            </w:tcBorders>
          </w:tcPr>
          <w:p w14:paraId="0E1440EC"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-2.586</w:t>
            </w:r>
          </w:p>
        </w:tc>
        <w:tc>
          <w:tcPr>
            <w:tcW w:w="1701" w:type="dxa"/>
            <w:tcBorders>
              <w:top w:val="nil"/>
              <w:bottom w:val="nil"/>
            </w:tcBorders>
          </w:tcPr>
          <w:p w14:paraId="3A0B5D59"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Stationary</w:t>
            </w:r>
          </w:p>
        </w:tc>
      </w:tr>
      <w:tr w:rsidR="00BF60AD" w:rsidRPr="00BF60AD" w14:paraId="5AC6710F" w14:textId="77777777" w:rsidTr="00774C53">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31853090" w14:textId="77777777" w:rsidR="00BF60AD" w:rsidRPr="00BF60AD" w:rsidRDefault="00BF60AD" w:rsidP="00BF60AD">
            <w:pPr>
              <w:spacing w:line="360" w:lineRule="auto"/>
              <w:rPr>
                <w:b w:val="0"/>
                <w:bCs w:val="0"/>
                <w:sz w:val="24"/>
                <w:szCs w:val="24"/>
              </w:rPr>
            </w:pPr>
            <w:r w:rsidRPr="00BF60AD">
              <w:rPr>
                <w:b w:val="0"/>
                <w:bCs w:val="0"/>
                <w:sz w:val="24"/>
                <w:szCs w:val="24"/>
              </w:rPr>
              <w:t>dd ln(</w:t>
            </w:r>
            <w:proofErr w:type="spellStart"/>
            <w:r w:rsidRPr="00BF60AD">
              <w:rPr>
                <w:b w:val="0"/>
                <w:bCs w:val="0"/>
                <w:sz w:val="24"/>
                <w:szCs w:val="24"/>
              </w:rPr>
              <w:t>Export_Price</w:t>
            </w:r>
            <w:proofErr w:type="spellEnd"/>
            <w:r w:rsidRPr="00BF60AD">
              <w:rPr>
                <w:b w:val="0"/>
                <w:bCs w:val="0"/>
                <w:sz w:val="24"/>
                <w:szCs w:val="24"/>
              </w:rPr>
              <w:t>)*</w:t>
            </w:r>
          </w:p>
        </w:tc>
        <w:tc>
          <w:tcPr>
            <w:tcW w:w="1276" w:type="dxa"/>
            <w:tcBorders>
              <w:top w:val="nil"/>
              <w:bottom w:val="nil"/>
            </w:tcBorders>
          </w:tcPr>
          <w:p w14:paraId="5DA4C280"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-5.102</w:t>
            </w:r>
          </w:p>
        </w:tc>
        <w:tc>
          <w:tcPr>
            <w:tcW w:w="1276" w:type="dxa"/>
            <w:tcBorders>
              <w:top w:val="nil"/>
              <w:bottom w:val="nil"/>
            </w:tcBorders>
          </w:tcPr>
          <w:p w14:paraId="14C69F90"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0.000 ***</w:t>
            </w:r>
          </w:p>
        </w:tc>
        <w:tc>
          <w:tcPr>
            <w:tcW w:w="1275" w:type="dxa"/>
            <w:tcBorders>
              <w:top w:val="nil"/>
              <w:bottom w:val="nil"/>
            </w:tcBorders>
          </w:tcPr>
          <w:p w14:paraId="22E422D8"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-3.526</w:t>
            </w:r>
          </w:p>
        </w:tc>
        <w:tc>
          <w:tcPr>
            <w:tcW w:w="1276" w:type="dxa"/>
            <w:tcBorders>
              <w:top w:val="nil"/>
              <w:bottom w:val="nil"/>
            </w:tcBorders>
          </w:tcPr>
          <w:p w14:paraId="25196F8B"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-2.903</w:t>
            </w:r>
          </w:p>
        </w:tc>
        <w:tc>
          <w:tcPr>
            <w:tcW w:w="1276" w:type="dxa"/>
            <w:tcBorders>
              <w:top w:val="nil"/>
              <w:bottom w:val="nil"/>
            </w:tcBorders>
          </w:tcPr>
          <w:p w14:paraId="5BD8EE60"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-2.589</w:t>
            </w:r>
          </w:p>
        </w:tc>
        <w:tc>
          <w:tcPr>
            <w:tcW w:w="1701" w:type="dxa"/>
            <w:tcBorders>
              <w:top w:val="nil"/>
              <w:bottom w:val="nil"/>
            </w:tcBorders>
          </w:tcPr>
          <w:p w14:paraId="2C3DD2A3"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Stationary</w:t>
            </w:r>
          </w:p>
        </w:tc>
      </w:tr>
      <w:tr w:rsidR="00BF60AD" w:rsidRPr="00BF60AD" w14:paraId="0C3A828F" w14:textId="77777777" w:rsidTr="007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09EC2EFC" w14:textId="77777777" w:rsidR="00BF60AD" w:rsidRPr="00BF60AD" w:rsidRDefault="00BF60AD" w:rsidP="00BF60AD">
            <w:pPr>
              <w:spacing w:line="360" w:lineRule="auto"/>
              <w:rPr>
                <w:b w:val="0"/>
                <w:bCs w:val="0"/>
                <w:sz w:val="24"/>
                <w:szCs w:val="24"/>
              </w:rPr>
            </w:pPr>
            <w:r w:rsidRPr="00BF60AD">
              <w:rPr>
                <w:b w:val="0"/>
                <w:bCs w:val="0"/>
                <w:sz w:val="24"/>
                <w:szCs w:val="24"/>
              </w:rPr>
              <w:t>ln(</w:t>
            </w:r>
            <w:proofErr w:type="spellStart"/>
            <w:r w:rsidRPr="00BF60AD">
              <w:rPr>
                <w:b w:val="0"/>
                <w:bCs w:val="0"/>
                <w:sz w:val="24"/>
                <w:szCs w:val="24"/>
              </w:rPr>
              <w:t>Patent_Total</w:t>
            </w:r>
            <w:proofErr w:type="spellEnd"/>
            <w:r w:rsidRPr="00BF60AD">
              <w:rPr>
                <w:b w:val="0"/>
                <w:bCs w:val="0"/>
                <w:sz w:val="24"/>
                <w:szCs w:val="24"/>
              </w:rPr>
              <w:t>)</w:t>
            </w:r>
          </w:p>
        </w:tc>
        <w:tc>
          <w:tcPr>
            <w:tcW w:w="1276" w:type="dxa"/>
            <w:tcBorders>
              <w:top w:val="nil"/>
              <w:bottom w:val="nil"/>
            </w:tcBorders>
          </w:tcPr>
          <w:p w14:paraId="44D3278E"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-0.089</w:t>
            </w:r>
          </w:p>
        </w:tc>
        <w:tc>
          <w:tcPr>
            <w:tcW w:w="1276" w:type="dxa"/>
            <w:tcBorders>
              <w:top w:val="nil"/>
              <w:bottom w:val="nil"/>
            </w:tcBorders>
          </w:tcPr>
          <w:p w14:paraId="73A13A4A"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0.951</w:t>
            </w:r>
          </w:p>
        </w:tc>
        <w:tc>
          <w:tcPr>
            <w:tcW w:w="1275" w:type="dxa"/>
            <w:tcBorders>
              <w:top w:val="nil"/>
              <w:bottom w:val="nil"/>
            </w:tcBorders>
          </w:tcPr>
          <w:p w14:paraId="0B462292"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-3.526</w:t>
            </w:r>
          </w:p>
        </w:tc>
        <w:tc>
          <w:tcPr>
            <w:tcW w:w="1276" w:type="dxa"/>
            <w:tcBorders>
              <w:top w:val="nil"/>
              <w:bottom w:val="nil"/>
            </w:tcBorders>
          </w:tcPr>
          <w:p w14:paraId="1CA8EDEB"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-2.903</w:t>
            </w:r>
          </w:p>
        </w:tc>
        <w:tc>
          <w:tcPr>
            <w:tcW w:w="1276" w:type="dxa"/>
            <w:tcBorders>
              <w:top w:val="nil"/>
              <w:bottom w:val="nil"/>
            </w:tcBorders>
          </w:tcPr>
          <w:p w14:paraId="17BC10AA"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-2.589</w:t>
            </w:r>
          </w:p>
        </w:tc>
        <w:tc>
          <w:tcPr>
            <w:tcW w:w="1701" w:type="dxa"/>
            <w:tcBorders>
              <w:top w:val="nil"/>
              <w:bottom w:val="nil"/>
            </w:tcBorders>
          </w:tcPr>
          <w:p w14:paraId="24D7F764"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Non-stationary</w:t>
            </w:r>
          </w:p>
        </w:tc>
      </w:tr>
      <w:tr w:rsidR="00BF60AD" w:rsidRPr="00BF60AD" w14:paraId="278C4DE4" w14:textId="77777777" w:rsidTr="00774C53">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3BAF6983" w14:textId="77777777" w:rsidR="00BF60AD" w:rsidRPr="00BF60AD" w:rsidRDefault="00BF60AD" w:rsidP="00BF60AD">
            <w:pPr>
              <w:spacing w:line="360" w:lineRule="auto"/>
              <w:rPr>
                <w:b w:val="0"/>
                <w:bCs w:val="0"/>
                <w:sz w:val="24"/>
                <w:szCs w:val="24"/>
              </w:rPr>
            </w:pPr>
            <w:r w:rsidRPr="00BF60AD">
              <w:rPr>
                <w:b w:val="0"/>
                <w:bCs w:val="0"/>
                <w:sz w:val="24"/>
                <w:szCs w:val="24"/>
              </w:rPr>
              <w:t>d ln(</w:t>
            </w:r>
            <w:proofErr w:type="spellStart"/>
            <w:r w:rsidRPr="00BF60AD">
              <w:rPr>
                <w:b w:val="0"/>
                <w:bCs w:val="0"/>
                <w:sz w:val="24"/>
                <w:szCs w:val="24"/>
              </w:rPr>
              <w:t>Patent_Total</w:t>
            </w:r>
            <w:proofErr w:type="spellEnd"/>
            <w:r w:rsidRPr="00BF60AD">
              <w:rPr>
                <w:b w:val="0"/>
                <w:bCs w:val="0"/>
                <w:sz w:val="24"/>
                <w:szCs w:val="24"/>
              </w:rPr>
              <w:t>)</w:t>
            </w:r>
          </w:p>
        </w:tc>
        <w:tc>
          <w:tcPr>
            <w:tcW w:w="1276" w:type="dxa"/>
            <w:tcBorders>
              <w:top w:val="nil"/>
              <w:bottom w:val="nil"/>
            </w:tcBorders>
          </w:tcPr>
          <w:p w14:paraId="536F9DF5"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-1.453</w:t>
            </w:r>
          </w:p>
        </w:tc>
        <w:tc>
          <w:tcPr>
            <w:tcW w:w="1276" w:type="dxa"/>
            <w:tcBorders>
              <w:top w:val="nil"/>
              <w:bottom w:val="nil"/>
            </w:tcBorders>
          </w:tcPr>
          <w:p w14:paraId="7C0B91E6"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0.557</w:t>
            </w:r>
          </w:p>
        </w:tc>
        <w:tc>
          <w:tcPr>
            <w:tcW w:w="1275" w:type="dxa"/>
            <w:tcBorders>
              <w:top w:val="nil"/>
              <w:bottom w:val="nil"/>
            </w:tcBorders>
          </w:tcPr>
          <w:p w14:paraId="62E912D9"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-3.527</w:t>
            </w:r>
          </w:p>
        </w:tc>
        <w:tc>
          <w:tcPr>
            <w:tcW w:w="1276" w:type="dxa"/>
            <w:tcBorders>
              <w:top w:val="nil"/>
              <w:bottom w:val="nil"/>
            </w:tcBorders>
          </w:tcPr>
          <w:p w14:paraId="2284F70F"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-2.904</w:t>
            </w:r>
          </w:p>
        </w:tc>
        <w:tc>
          <w:tcPr>
            <w:tcW w:w="1276" w:type="dxa"/>
            <w:tcBorders>
              <w:top w:val="nil"/>
              <w:bottom w:val="nil"/>
            </w:tcBorders>
          </w:tcPr>
          <w:p w14:paraId="6206C753"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-2.589</w:t>
            </w:r>
          </w:p>
        </w:tc>
        <w:tc>
          <w:tcPr>
            <w:tcW w:w="1701" w:type="dxa"/>
            <w:tcBorders>
              <w:top w:val="nil"/>
              <w:bottom w:val="nil"/>
            </w:tcBorders>
          </w:tcPr>
          <w:p w14:paraId="3919A2EE"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Non-stationary</w:t>
            </w:r>
          </w:p>
        </w:tc>
      </w:tr>
      <w:tr w:rsidR="00BF60AD" w:rsidRPr="00BF60AD" w14:paraId="012F7521" w14:textId="77777777" w:rsidTr="007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4C94FDF7" w14:textId="77777777" w:rsidR="00BF60AD" w:rsidRPr="00BF60AD" w:rsidRDefault="00BF60AD" w:rsidP="00BF60AD">
            <w:pPr>
              <w:spacing w:line="360" w:lineRule="auto"/>
              <w:rPr>
                <w:b w:val="0"/>
                <w:bCs w:val="0"/>
                <w:sz w:val="24"/>
                <w:szCs w:val="24"/>
              </w:rPr>
            </w:pPr>
            <w:r w:rsidRPr="00BF60AD">
              <w:rPr>
                <w:b w:val="0"/>
                <w:bCs w:val="0"/>
                <w:sz w:val="24"/>
                <w:szCs w:val="24"/>
              </w:rPr>
              <w:t>dd ln(</w:t>
            </w:r>
            <w:proofErr w:type="spellStart"/>
            <w:r w:rsidRPr="00BF60AD">
              <w:rPr>
                <w:b w:val="0"/>
                <w:bCs w:val="0"/>
                <w:sz w:val="24"/>
                <w:szCs w:val="24"/>
              </w:rPr>
              <w:t>Patent_Total</w:t>
            </w:r>
            <w:proofErr w:type="spellEnd"/>
            <w:r w:rsidRPr="00BF60AD">
              <w:rPr>
                <w:b w:val="0"/>
                <w:bCs w:val="0"/>
                <w:sz w:val="24"/>
                <w:szCs w:val="24"/>
              </w:rPr>
              <w:t>)*</w:t>
            </w:r>
          </w:p>
        </w:tc>
        <w:tc>
          <w:tcPr>
            <w:tcW w:w="1276" w:type="dxa"/>
            <w:tcBorders>
              <w:top w:val="nil"/>
              <w:bottom w:val="nil"/>
            </w:tcBorders>
          </w:tcPr>
          <w:p w14:paraId="0ADFDA47"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-7.910</w:t>
            </w:r>
          </w:p>
        </w:tc>
        <w:tc>
          <w:tcPr>
            <w:tcW w:w="1276" w:type="dxa"/>
            <w:tcBorders>
              <w:top w:val="nil"/>
              <w:bottom w:val="nil"/>
            </w:tcBorders>
          </w:tcPr>
          <w:p w14:paraId="48C59EB3"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0.000 ***</w:t>
            </w:r>
          </w:p>
        </w:tc>
        <w:tc>
          <w:tcPr>
            <w:tcW w:w="1275" w:type="dxa"/>
            <w:tcBorders>
              <w:top w:val="nil"/>
              <w:bottom w:val="nil"/>
            </w:tcBorders>
          </w:tcPr>
          <w:p w14:paraId="606608C0"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-3.527</w:t>
            </w:r>
          </w:p>
        </w:tc>
        <w:tc>
          <w:tcPr>
            <w:tcW w:w="1276" w:type="dxa"/>
            <w:tcBorders>
              <w:top w:val="nil"/>
              <w:bottom w:val="nil"/>
            </w:tcBorders>
          </w:tcPr>
          <w:p w14:paraId="456A91C7"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-2.904</w:t>
            </w:r>
          </w:p>
        </w:tc>
        <w:tc>
          <w:tcPr>
            <w:tcW w:w="1276" w:type="dxa"/>
            <w:tcBorders>
              <w:top w:val="nil"/>
              <w:bottom w:val="nil"/>
            </w:tcBorders>
          </w:tcPr>
          <w:p w14:paraId="24676BF1"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-2.589</w:t>
            </w:r>
          </w:p>
        </w:tc>
        <w:tc>
          <w:tcPr>
            <w:tcW w:w="1701" w:type="dxa"/>
            <w:tcBorders>
              <w:top w:val="nil"/>
              <w:bottom w:val="nil"/>
            </w:tcBorders>
          </w:tcPr>
          <w:p w14:paraId="2EA4BE90"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Stationary</w:t>
            </w:r>
          </w:p>
        </w:tc>
      </w:tr>
      <w:tr w:rsidR="00BF60AD" w:rsidRPr="00BF60AD" w14:paraId="7ACBEE38" w14:textId="77777777" w:rsidTr="00774C53">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14AD2C29" w14:textId="77777777" w:rsidR="00BF60AD" w:rsidRPr="00BF60AD" w:rsidRDefault="00BF60AD" w:rsidP="00BF60AD">
            <w:pPr>
              <w:spacing w:line="360" w:lineRule="auto"/>
              <w:rPr>
                <w:b w:val="0"/>
                <w:bCs w:val="0"/>
                <w:sz w:val="24"/>
                <w:szCs w:val="24"/>
              </w:rPr>
            </w:pPr>
            <w:proofErr w:type="spellStart"/>
            <w:r w:rsidRPr="00BF60AD">
              <w:rPr>
                <w:b w:val="0"/>
                <w:bCs w:val="0"/>
                <w:sz w:val="24"/>
                <w:szCs w:val="24"/>
              </w:rPr>
              <w:t>Innovation_Quality</w:t>
            </w:r>
            <w:proofErr w:type="spellEnd"/>
          </w:p>
        </w:tc>
        <w:tc>
          <w:tcPr>
            <w:tcW w:w="1276" w:type="dxa"/>
            <w:tcBorders>
              <w:top w:val="nil"/>
              <w:bottom w:val="nil"/>
            </w:tcBorders>
          </w:tcPr>
          <w:p w14:paraId="5283EB13"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0.146</w:t>
            </w:r>
          </w:p>
        </w:tc>
        <w:tc>
          <w:tcPr>
            <w:tcW w:w="1276" w:type="dxa"/>
            <w:tcBorders>
              <w:top w:val="nil"/>
              <w:bottom w:val="nil"/>
            </w:tcBorders>
          </w:tcPr>
          <w:p w14:paraId="29DE1680"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0.945</w:t>
            </w:r>
          </w:p>
        </w:tc>
        <w:tc>
          <w:tcPr>
            <w:tcW w:w="1275" w:type="dxa"/>
            <w:tcBorders>
              <w:top w:val="nil"/>
              <w:bottom w:val="nil"/>
            </w:tcBorders>
          </w:tcPr>
          <w:p w14:paraId="4811FF85"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-3.526</w:t>
            </w:r>
          </w:p>
        </w:tc>
        <w:tc>
          <w:tcPr>
            <w:tcW w:w="1276" w:type="dxa"/>
            <w:tcBorders>
              <w:top w:val="nil"/>
              <w:bottom w:val="nil"/>
            </w:tcBorders>
          </w:tcPr>
          <w:p w14:paraId="7584750B"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-2.903</w:t>
            </w:r>
          </w:p>
        </w:tc>
        <w:tc>
          <w:tcPr>
            <w:tcW w:w="1276" w:type="dxa"/>
            <w:tcBorders>
              <w:top w:val="nil"/>
              <w:bottom w:val="nil"/>
            </w:tcBorders>
          </w:tcPr>
          <w:p w14:paraId="758B1E21"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-2.589</w:t>
            </w:r>
          </w:p>
        </w:tc>
        <w:tc>
          <w:tcPr>
            <w:tcW w:w="1701" w:type="dxa"/>
            <w:tcBorders>
              <w:top w:val="nil"/>
              <w:bottom w:val="nil"/>
            </w:tcBorders>
          </w:tcPr>
          <w:p w14:paraId="750FD0D8"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Non-stationary</w:t>
            </w:r>
          </w:p>
        </w:tc>
      </w:tr>
      <w:tr w:rsidR="00BF60AD" w:rsidRPr="00BF60AD" w14:paraId="0745E439" w14:textId="77777777" w:rsidTr="007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tcPr>
          <w:p w14:paraId="7C7ECF01" w14:textId="77777777" w:rsidR="00BF60AD" w:rsidRPr="00BF60AD" w:rsidRDefault="00BF60AD" w:rsidP="00BF60AD">
            <w:pPr>
              <w:spacing w:line="360" w:lineRule="auto"/>
              <w:rPr>
                <w:b w:val="0"/>
                <w:bCs w:val="0"/>
                <w:sz w:val="24"/>
                <w:szCs w:val="24"/>
              </w:rPr>
            </w:pPr>
            <w:r w:rsidRPr="00BF60AD">
              <w:rPr>
                <w:b w:val="0"/>
                <w:bCs w:val="0"/>
                <w:sz w:val="24"/>
                <w:szCs w:val="24"/>
              </w:rPr>
              <w:t xml:space="preserve">d </w:t>
            </w:r>
            <w:proofErr w:type="spellStart"/>
            <w:r w:rsidRPr="00BF60AD">
              <w:rPr>
                <w:b w:val="0"/>
                <w:bCs w:val="0"/>
                <w:sz w:val="24"/>
                <w:szCs w:val="24"/>
              </w:rPr>
              <w:t>Innovation_Quality</w:t>
            </w:r>
            <w:proofErr w:type="spellEnd"/>
          </w:p>
        </w:tc>
        <w:tc>
          <w:tcPr>
            <w:tcW w:w="1276" w:type="dxa"/>
            <w:tcBorders>
              <w:top w:val="nil"/>
              <w:bottom w:val="nil"/>
            </w:tcBorders>
          </w:tcPr>
          <w:p w14:paraId="27D85286"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-1.165</w:t>
            </w:r>
          </w:p>
        </w:tc>
        <w:tc>
          <w:tcPr>
            <w:tcW w:w="1276" w:type="dxa"/>
            <w:tcBorders>
              <w:top w:val="nil"/>
              <w:bottom w:val="nil"/>
            </w:tcBorders>
          </w:tcPr>
          <w:p w14:paraId="30E2AD95"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0.688</w:t>
            </w:r>
          </w:p>
        </w:tc>
        <w:tc>
          <w:tcPr>
            <w:tcW w:w="1275" w:type="dxa"/>
            <w:tcBorders>
              <w:top w:val="nil"/>
              <w:bottom w:val="nil"/>
            </w:tcBorders>
          </w:tcPr>
          <w:p w14:paraId="0329EAE0"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-3.527</w:t>
            </w:r>
          </w:p>
        </w:tc>
        <w:tc>
          <w:tcPr>
            <w:tcW w:w="1276" w:type="dxa"/>
            <w:tcBorders>
              <w:top w:val="nil"/>
              <w:bottom w:val="nil"/>
            </w:tcBorders>
          </w:tcPr>
          <w:p w14:paraId="7A243A42"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-2.904</w:t>
            </w:r>
          </w:p>
        </w:tc>
        <w:tc>
          <w:tcPr>
            <w:tcW w:w="1276" w:type="dxa"/>
            <w:tcBorders>
              <w:top w:val="nil"/>
              <w:bottom w:val="nil"/>
            </w:tcBorders>
          </w:tcPr>
          <w:p w14:paraId="5ADC0098"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-2.589</w:t>
            </w:r>
          </w:p>
        </w:tc>
        <w:tc>
          <w:tcPr>
            <w:tcW w:w="1701" w:type="dxa"/>
            <w:tcBorders>
              <w:top w:val="nil"/>
              <w:bottom w:val="nil"/>
            </w:tcBorders>
          </w:tcPr>
          <w:p w14:paraId="450FB956" w14:textId="77777777" w:rsidR="00BF60AD" w:rsidRPr="00BF60AD" w:rsidRDefault="00BF60AD" w:rsidP="00BF60AD">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BF60AD">
              <w:rPr>
                <w:sz w:val="24"/>
                <w:szCs w:val="24"/>
              </w:rPr>
              <w:t>Non-stationary</w:t>
            </w:r>
          </w:p>
        </w:tc>
      </w:tr>
      <w:tr w:rsidR="00BF60AD" w:rsidRPr="00BF60AD" w14:paraId="1E74AB09" w14:textId="77777777" w:rsidTr="00774C53">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12" w:space="0" w:color="auto"/>
            </w:tcBorders>
          </w:tcPr>
          <w:p w14:paraId="1F51193A" w14:textId="77777777" w:rsidR="00BF60AD" w:rsidRPr="00BF60AD" w:rsidRDefault="00BF60AD" w:rsidP="00BF60AD">
            <w:pPr>
              <w:spacing w:line="360" w:lineRule="auto"/>
              <w:rPr>
                <w:b w:val="0"/>
                <w:bCs w:val="0"/>
                <w:sz w:val="24"/>
                <w:szCs w:val="24"/>
              </w:rPr>
            </w:pPr>
            <w:r w:rsidRPr="00BF60AD">
              <w:rPr>
                <w:b w:val="0"/>
                <w:bCs w:val="0"/>
                <w:sz w:val="24"/>
                <w:szCs w:val="24"/>
              </w:rPr>
              <w:t xml:space="preserve">dd </w:t>
            </w:r>
            <w:proofErr w:type="spellStart"/>
            <w:r w:rsidRPr="00BF60AD">
              <w:rPr>
                <w:b w:val="0"/>
                <w:bCs w:val="0"/>
                <w:sz w:val="24"/>
                <w:szCs w:val="24"/>
              </w:rPr>
              <w:t>Innovation_Quality</w:t>
            </w:r>
            <w:proofErr w:type="spellEnd"/>
            <w:r w:rsidRPr="00BF60AD">
              <w:rPr>
                <w:b w:val="0"/>
                <w:bCs w:val="0"/>
                <w:sz w:val="24"/>
                <w:szCs w:val="24"/>
              </w:rPr>
              <w:t>*</w:t>
            </w:r>
          </w:p>
        </w:tc>
        <w:tc>
          <w:tcPr>
            <w:tcW w:w="1276" w:type="dxa"/>
            <w:tcBorders>
              <w:top w:val="nil"/>
              <w:bottom w:val="single" w:sz="12" w:space="0" w:color="auto"/>
            </w:tcBorders>
          </w:tcPr>
          <w:p w14:paraId="05419A98"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-7.363</w:t>
            </w:r>
          </w:p>
        </w:tc>
        <w:tc>
          <w:tcPr>
            <w:tcW w:w="1276" w:type="dxa"/>
            <w:tcBorders>
              <w:top w:val="nil"/>
              <w:bottom w:val="single" w:sz="12" w:space="0" w:color="auto"/>
            </w:tcBorders>
          </w:tcPr>
          <w:p w14:paraId="40D46880"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 xml:space="preserve">0.000 *** </w:t>
            </w:r>
          </w:p>
        </w:tc>
        <w:tc>
          <w:tcPr>
            <w:tcW w:w="1275" w:type="dxa"/>
            <w:tcBorders>
              <w:top w:val="nil"/>
              <w:bottom w:val="single" w:sz="12" w:space="0" w:color="auto"/>
            </w:tcBorders>
          </w:tcPr>
          <w:p w14:paraId="2FB9C194"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-3.527</w:t>
            </w:r>
          </w:p>
        </w:tc>
        <w:tc>
          <w:tcPr>
            <w:tcW w:w="1276" w:type="dxa"/>
            <w:tcBorders>
              <w:top w:val="nil"/>
              <w:bottom w:val="single" w:sz="12" w:space="0" w:color="auto"/>
            </w:tcBorders>
          </w:tcPr>
          <w:p w14:paraId="044424C2"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-2.904</w:t>
            </w:r>
          </w:p>
        </w:tc>
        <w:tc>
          <w:tcPr>
            <w:tcW w:w="1276" w:type="dxa"/>
            <w:tcBorders>
              <w:top w:val="nil"/>
              <w:bottom w:val="single" w:sz="12" w:space="0" w:color="auto"/>
            </w:tcBorders>
          </w:tcPr>
          <w:p w14:paraId="4542DFB9"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-2.589</w:t>
            </w:r>
          </w:p>
        </w:tc>
        <w:tc>
          <w:tcPr>
            <w:tcW w:w="1701" w:type="dxa"/>
            <w:tcBorders>
              <w:top w:val="nil"/>
              <w:bottom w:val="single" w:sz="12" w:space="0" w:color="auto"/>
            </w:tcBorders>
          </w:tcPr>
          <w:p w14:paraId="318D8D5B" w14:textId="77777777" w:rsidR="00BF60AD" w:rsidRPr="00BF60AD" w:rsidRDefault="00BF60AD" w:rsidP="00BF60AD">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BF60AD">
              <w:rPr>
                <w:sz w:val="24"/>
                <w:szCs w:val="24"/>
              </w:rPr>
              <w:t>Stationary</w:t>
            </w:r>
          </w:p>
        </w:tc>
      </w:tr>
    </w:tbl>
    <w:p w14:paraId="7CD23CFA" w14:textId="77777777" w:rsidR="00BF60AD" w:rsidRPr="00BF60AD" w:rsidRDefault="00BF60AD" w:rsidP="00BF60AD">
      <w:pPr>
        <w:spacing w:line="360" w:lineRule="auto"/>
        <w:rPr>
          <w:rFonts w:eastAsia="Times New Roman" w:cs="Times New Roman"/>
          <w:sz w:val="24"/>
        </w:rPr>
      </w:pPr>
      <w:r w:rsidRPr="00BF60AD">
        <w:rPr>
          <w:rFonts w:eastAsia="Times New Roman" w:cs="Times New Roman"/>
          <w:sz w:val="24"/>
        </w:rPr>
        <w:t>Note. ***, **, * denote significance at the 1%, 5%, and 10% levels, respectively .*</w:t>
      </w:r>
    </w:p>
    <w:p w14:paraId="287A3251" w14:textId="77777777" w:rsidR="00BF60AD" w:rsidRPr="00BF60AD" w:rsidRDefault="00BF60AD" w:rsidP="00BF60AD">
      <w:pPr>
        <w:spacing w:line="360" w:lineRule="auto"/>
        <w:rPr>
          <w:rFonts w:eastAsiaTheme="minorEastAsia" w:cs="Times New Roman"/>
          <w:sz w:val="24"/>
        </w:rPr>
      </w:pPr>
    </w:p>
    <w:p w14:paraId="72E90BB0"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As all core variables are I(2) series, the precondition for constructing a VAR model is met. The VAR model is established based on the stationary second-differenced series. The stability test indicates that all inverse roots of the characteristic AR polynomial lie inside the unit circle (see Figure 3), confirming that the specified VAR model is stable, and the results from the impulse response function and variance decomposition are reliable.</w:t>
      </w:r>
    </w:p>
    <w:p w14:paraId="71725CF7" w14:textId="77777777" w:rsidR="00BF60AD" w:rsidRPr="00BF60AD" w:rsidRDefault="00BF60AD" w:rsidP="00BF60AD">
      <w:pPr>
        <w:spacing w:line="360" w:lineRule="auto"/>
        <w:ind w:firstLineChars="100" w:firstLine="240"/>
        <w:rPr>
          <w:rFonts w:eastAsiaTheme="minorEastAsia" w:cs="Times New Roman"/>
          <w:sz w:val="24"/>
        </w:rPr>
      </w:pPr>
    </w:p>
    <w:p w14:paraId="4B655D80" w14:textId="77777777" w:rsidR="00BF60AD" w:rsidRPr="00BF60AD" w:rsidRDefault="00BF60AD" w:rsidP="00BF60AD">
      <w:pPr>
        <w:spacing w:line="360" w:lineRule="auto"/>
        <w:rPr>
          <w:rFonts w:eastAsia="Times New Roman" w:cs="Times New Roman"/>
          <w:sz w:val="24"/>
        </w:rPr>
      </w:pPr>
      <w:r w:rsidRPr="00BF60AD">
        <w:rPr>
          <w:rFonts w:cs="Times New Roman"/>
          <w:noProof/>
          <w:sz w:val="24"/>
        </w:rPr>
        <w:drawing>
          <wp:inline distT="0" distB="0" distL="0" distR="0" wp14:anchorId="57B5D8B2" wp14:editId="7687A4EE">
            <wp:extent cx="1969477" cy="1969477"/>
            <wp:effectExtent l="0" t="0" r="0" b="0"/>
            <wp:docPr id="9" name="图片 9"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散点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5151" cy="1975151"/>
                    </a:xfrm>
                    <a:prstGeom prst="rect">
                      <a:avLst/>
                    </a:prstGeom>
                  </pic:spPr>
                </pic:pic>
              </a:graphicData>
            </a:graphic>
          </wp:inline>
        </w:drawing>
      </w:r>
    </w:p>
    <w:p w14:paraId="0AC0D564" w14:textId="77777777" w:rsidR="00BF60AD" w:rsidRPr="00BF60AD" w:rsidRDefault="00BF60AD" w:rsidP="00BF60AD">
      <w:pPr>
        <w:spacing w:line="360" w:lineRule="auto"/>
        <w:rPr>
          <w:rFonts w:eastAsia="宋体" w:cs="Times New Roman"/>
          <w:i/>
          <w:sz w:val="24"/>
        </w:rPr>
      </w:pPr>
      <w:r w:rsidRPr="00BF60AD">
        <w:rPr>
          <w:rFonts w:eastAsia="Times New Roman" w:cs="Times New Roman"/>
          <w:i/>
          <w:sz w:val="24"/>
        </w:rPr>
        <w:t xml:space="preserve">Figure </w:t>
      </w:r>
      <w:r w:rsidRPr="00BF60AD">
        <w:rPr>
          <w:rFonts w:eastAsiaTheme="minorEastAsia" w:cs="Times New Roman"/>
          <w:i/>
          <w:sz w:val="24"/>
        </w:rPr>
        <w:t>4</w:t>
      </w:r>
      <w:r w:rsidRPr="00BF60AD">
        <w:rPr>
          <w:rFonts w:eastAsia="Times New Roman" w:cs="Times New Roman"/>
          <w:i/>
          <w:sz w:val="24"/>
        </w:rPr>
        <w:t>.1: VAR Model Stability Test (Inverse Roots of AR Characteristic Polynomial)</w:t>
      </w:r>
    </w:p>
    <w:p w14:paraId="22C7014C" w14:textId="77777777" w:rsidR="00BF60AD" w:rsidRPr="00BF60AD" w:rsidRDefault="00BF60AD" w:rsidP="00BF60AD">
      <w:pPr>
        <w:spacing w:line="360" w:lineRule="auto"/>
        <w:rPr>
          <w:rFonts w:eastAsia="Times New Roman" w:cs="Times New Roman"/>
          <w:i/>
          <w:sz w:val="24"/>
        </w:rPr>
      </w:pPr>
    </w:p>
    <w:p w14:paraId="47897B47" w14:textId="77777777" w:rsidR="00BF60AD" w:rsidRPr="00BF60AD" w:rsidRDefault="00BF60AD" w:rsidP="00BF60AD">
      <w:pPr>
        <w:pStyle w:val="a9"/>
        <w:spacing w:line="360" w:lineRule="auto"/>
        <w:ind w:left="0"/>
        <w:rPr>
          <w:rFonts w:eastAsia="宋体" w:cs="Times New Roman"/>
          <w:b/>
          <w:bCs/>
          <w:sz w:val="24"/>
        </w:rPr>
      </w:pPr>
      <w:r w:rsidRPr="00BF60AD">
        <w:rPr>
          <w:rFonts w:eastAsia="宋体" w:cs="Times New Roman"/>
          <w:b/>
          <w:bCs/>
          <w:sz w:val="24"/>
        </w:rPr>
        <w:t>4.2. Granger Causality Test</w:t>
      </w:r>
    </w:p>
    <w:p w14:paraId="004B3541"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lastRenderedPageBreak/>
        <w:t>The empirical results reveal that the core driving force is "innovation" (particularly innovation quality). Elevated innovation quality not only directly stimulates an increase in total patent count but also establishes a mutually reinforcing dynamic with it; innovation (whether measured by total patents or innovation quality) is the driver for improving export performance. It facilitates both the expansion of export volume and the attainment of higher export prices, consistent with the “innovation-driven export upgrading” thesis. Additionally, growth in export volume itself exerts an influence on export prices, potentially mirroring economies of scale or shifts in market influence.</w:t>
      </w:r>
    </w:p>
    <w:p w14:paraId="6046A5A6" w14:textId="77777777" w:rsidR="00BF60AD" w:rsidRPr="00BF60AD" w:rsidRDefault="00BF60AD" w:rsidP="00BF60AD">
      <w:pPr>
        <w:spacing w:line="360" w:lineRule="auto"/>
        <w:ind w:firstLineChars="100" w:firstLine="240"/>
        <w:rPr>
          <w:rFonts w:eastAsiaTheme="minorEastAsia" w:cs="Times New Roman"/>
          <w:sz w:val="24"/>
        </w:rPr>
      </w:pPr>
    </w:p>
    <w:p w14:paraId="114DC380" w14:textId="77777777" w:rsidR="00BF60AD" w:rsidRPr="00BF60AD" w:rsidRDefault="00BF60AD" w:rsidP="00BF60AD">
      <w:pPr>
        <w:spacing w:line="360" w:lineRule="auto"/>
        <w:rPr>
          <w:rFonts w:eastAsia="宋体" w:cs="Times New Roman"/>
          <w:sz w:val="24"/>
        </w:rPr>
      </w:pPr>
      <w:r w:rsidRPr="00BF60AD">
        <w:rPr>
          <w:rFonts w:eastAsia="Times New Roman" w:cs="Times New Roman"/>
          <w:sz w:val="24"/>
        </w:rPr>
        <w:t xml:space="preserve">Table </w:t>
      </w:r>
      <w:r w:rsidRPr="00BF60AD">
        <w:rPr>
          <w:rFonts w:eastAsiaTheme="minorEastAsia" w:cs="Times New Roman"/>
          <w:sz w:val="24"/>
        </w:rPr>
        <w:t>4</w:t>
      </w:r>
      <w:r w:rsidRPr="00BF60AD">
        <w:rPr>
          <w:rFonts w:eastAsia="Times New Roman" w:cs="Times New Roman"/>
          <w:sz w:val="24"/>
        </w:rPr>
        <w:t>.</w:t>
      </w:r>
      <w:r w:rsidRPr="00BF60AD">
        <w:rPr>
          <w:rFonts w:eastAsiaTheme="minorEastAsia" w:cs="Times New Roman"/>
          <w:sz w:val="24"/>
        </w:rPr>
        <w:t>2</w:t>
      </w:r>
      <w:r w:rsidRPr="00BF60AD">
        <w:rPr>
          <w:rFonts w:eastAsia="Times New Roman" w:cs="Times New Roman"/>
          <w:sz w:val="24"/>
        </w:rPr>
        <w:t>: Granger Causality Test Results</w:t>
      </w:r>
    </w:p>
    <w:tbl>
      <w:tblPr>
        <w:tblStyle w:val="af1"/>
        <w:tblW w:w="9352" w:type="dxa"/>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6673"/>
        <w:gridCol w:w="1383"/>
        <w:gridCol w:w="1296"/>
      </w:tblGrid>
      <w:tr w:rsidR="00BF60AD" w:rsidRPr="00BF60AD" w14:paraId="53267CC2" w14:textId="77777777" w:rsidTr="00774C53">
        <w:tc>
          <w:tcPr>
            <w:tcW w:w="6673" w:type="dxa"/>
            <w:tcBorders>
              <w:bottom w:val="single" w:sz="4" w:space="0" w:color="auto"/>
            </w:tcBorders>
          </w:tcPr>
          <w:p w14:paraId="6F51C077" w14:textId="77777777" w:rsidR="00BF60AD" w:rsidRPr="00BF60AD" w:rsidRDefault="00BF60AD" w:rsidP="00BF60AD">
            <w:pPr>
              <w:spacing w:line="360" w:lineRule="auto"/>
              <w:rPr>
                <w:sz w:val="24"/>
                <w:szCs w:val="24"/>
              </w:rPr>
            </w:pPr>
            <w:r w:rsidRPr="00BF60AD">
              <w:rPr>
                <w:sz w:val="24"/>
                <w:szCs w:val="24"/>
              </w:rPr>
              <w:t>Pairwise Sample (Null Hypothesis: X does not Granger Cause Y)</w:t>
            </w:r>
          </w:p>
        </w:tc>
        <w:tc>
          <w:tcPr>
            <w:tcW w:w="1383" w:type="dxa"/>
            <w:tcBorders>
              <w:bottom w:val="single" w:sz="4" w:space="0" w:color="auto"/>
            </w:tcBorders>
          </w:tcPr>
          <w:p w14:paraId="2E519390" w14:textId="77777777" w:rsidR="00BF60AD" w:rsidRPr="00BF60AD" w:rsidRDefault="00BF60AD" w:rsidP="00BF60AD">
            <w:pPr>
              <w:spacing w:line="360" w:lineRule="auto"/>
              <w:rPr>
                <w:sz w:val="24"/>
                <w:szCs w:val="24"/>
              </w:rPr>
            </w:pPr>
            <w:r w:rsidRPr="00BF60AD">
              <w:rPr>
                <w:sz w:val="24"/>
                <w:szCs w:val="24"/>
              </w:rPr>
              <w:t>F-Statistic</w:t>
            </w:r>
          </w:p>
        </w:tc>
        <w:tc>
          <w:tcPr>
            <w:tcW w:w="1296" w:type="dxa"/>
            <w:tcBorders>
              <w:bottom w:val="single" w:sz="4" w:space="0" w:color="auto"/>
            </w:tcBorders>
          </w:tcPr>
          <w:p w14:paraId="0A96B83C" w14:textId="77777777" w:rsidR="00BF60AD" w:rsidRPr="00BF60AD" w:rsidRDefault="00BF60AD" w:rsidP="00BF60AD">
            <w:pPr>
              <w:spacing w:line="360" w:lineRule="auto"/>
              <w:rPr>
                <w:sz w:val="24"/>
                <w:szCs w:val="24"/>
              </w:rPr>
            </w:pPr>
            <w:r w:rsidRPr="00BF60AD">
              <w:rPr>
                <w:sz w:val="24"/>
                <w:szCs w:val="24"/>
              </w:rPr>
              <w:t>p-value</w:t>
            </w:r>
          </w:p>
        </w:tc>
      </w:tr>
      <w:tr w:rsidR="00BF60AD" w:rsidRPr="00BF60AD" w14:paraId="0CD90C4D" w14:textId="77777777" w:rsidTr="00774C53">
        <w:tc>
          <w:tcPr>
            <w:tcW w:w="6673" w:type="dxa"/>
            <w:tcBorders>
              <w:top w:val="single" w:sz="4" w:space="0" w:color="auto"/>
              <w:bottom w:val="nil"/>
            </w:tcBorders>
          </w:tcPr>
          <w:p w14:paraId="068D09B4"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Export_Price</w:t>
            </w:r>
            <w:proofErr w:type="spellEnd"/>
            <w:r w:rsidRPr="00BF60AD">
              <w:rPr>
                <w:sz w:val="24"/>
                <w:szCs w:val="24"/>
              </w:rPr>
              <w:t>) → ln(</w:t>
            </w:r>
            <w:proofErr w:type="spellStart"/>
            <w:r w:rsidRPr="00BF60AD">
              <w:rPr>
                <w:sz w:val="24"/>
                <w:szCs w:val="24"/>
              </w:rPr>
              <w:t>Export_Volume</w:t>
            </w:r>
            <w:proofErr w:type="spellEnd"/>
            <w:r w:rsidRPr="00BF60AD">
              <w:rPr>
                <w:sz w:val="24"/>
                <w:szCs w:val="24"/>
              </w:rPr>
              <w:t>)</w:t>
            </w:r>
          </w:p>
        </w:tc>
        <w:tc>
          <w:tcPr>
            <w:tcW w:w="1383" w:type="dxa"/>
            <w:tcBorders>
              <w:top w:val="single" w:sz="4" w:space="0" w:color="auto"/>
              <w:bottom w:val="nil"/>
            </w:tcBorders>
          </w:tcPr>
          <w:p w14:paraId="6BB9EF17" w14:textId="77777777" w:rsidR="00BF60AD" w:rsidRPr="00BF60AD" w:rsidRDefault="00BF60AD" w:rsidP="00BF60AD">
            <w:pPr>
              <w:spacing w:line="360" w:lineRule="auto"/>
              <w:rPr>
                <w:sz w:val="24"/>
                <w:szCs w:val="24"/>
              </w:rPr>
            </w:pPr>
            <w:r w:rsidRPr="00BF60AD">
              <w:rPr>
                <w:sz w:val="24"/>
                <w:szCs w:val="24"/>
              </w:rPr>
              <w:t>2.176</w:t>
            </w:r>
          </w:p>
        </w:tc>
        <w:tc>
          <w:tcPr>
            <w:tcW w:w="1296" w:type="dxa"/>
            <w:tcBorders>
              <w:top w:val="single" w:sz="4" w:space="0" w:color="auto"/>
              <w:bottom w:val="nil"/>
            </w:tcBorders>
          </w:tcPr>
          <w:p w14:paraId="5716481B" w14:textId="77777777" w:rsidR="00BF60AD" w:rsidRPr="00BF60AD" w:rsidRDefault="00BF60AD" w:rsidP="00BF60AD">
            <w:pPr>
              <w:spacing w:line="360" w:lineRule="auto"/>
              <w:rPr>
                <w:sz w:val="24"/>
                <w:szCs w:val="24"/>
              </w:rPr>
            </w:pPr>
            <w:r w:rsidRPr="00BF60AD">
              <w:rPr>
                <w:sz w:val="24"/>
                <w:szCs w:val="24"/>
              </w:rPr>
              <w:t>0.120</w:t>
            </w:r>
          </w:p>
        </w:tc>
      </w:tr>
      <w:tr w:rsidR="00BF60AD" w:rsidRPr="00BF60AD" w14:paraId="1279F874" w14:textId="77777777" w:rsidTr="00774C53">
        <w:tc>
          <w:tcPr>
            <w:tcW w:w="6673" w:type="dxa"/>
            <w:tcBorders>
              <w:top w:val="nil"/>
              <w:bottom w:val="nil"/>
            </w:tcBorders>
          </w:tcPr>
          <w:p w14:paraId="7DB9AD4D"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Export_Volume</w:t>
            </w:r>
            <w:proofErr w:type="spellEnd"/>
            <w:r w:rsidRPr="00BF60AD">
              <w:rPr>
                <w:sz w:val="24"/>
                <w:szCs w:val="24"/>
              </w:rPr>
              <w:t>) → ln(</w:t>
            </w:r>
            <w:proofErr w:type="spellStart"/>
            <w:r w:rsidRPr="00BF60AD">
              <w:rPr>
                <w:sz w:val="24"/>
                <w:szCs w:val="24"/>
              </w:rPr>
              <w:t>Export_Price</w:t>
            </w:r>
            <w:proofErr w:type="spellEnd"/>
            <w:r w:rsidRPr="00BF60AD">
              <w:rPr>
                <w:sz w:val="24"/>
                <w:szCs w:val="24"/>
              </w:rPr>
              <w:t>)</w:t>
            </w:r>
          </w:p>
        </w:tc>
        <w:tc>
          <w:tcPr>
            <w:tcW w:w="1383" w:type="dxa"/>
            <w:tcBorders>
              <w:top w:val="nil"/>
              <w:bottom w:val="nil"/>
            </w:tcBorders>
          </w:tcPr>
          <w:p w14:paraId="573A602D" w14:textId="77777777" w:rsidR="00BF60AD" w:rsidRPr="00BF60AD" w:rsidRDefault="00BF60AD" w:rsidP="00BF60AD">
            <w:pPr>
              <w:spacing w:line="360" w:lineRule="auto"/>
              <w:rPr>
                <w:sz w:val="24"/>
                <w:szCs w:val="24"/>
              </w:rPr>
            </w:pPr>
            <w:r w:rsidRPr="00BF60AD">
              <w:rPr>
                <w:sz w:val="24"/>
                <w:szCs w:val="24"/>
              </w:rPr>
              <w:t>3.715</w:t>
            </w:r>
          </w:p>
        </w:tc>
        <w:tc>
          <w:tcPr>
            <w:tcW w:w="1296" w:type="dxa"/>
            <w:tcBorders>
              <w:top w:val="nil"/>
              <w:bottom w:val="nil"/>
            </w:tcBorders>
          </w:tcPr>
          <w:p w14:paraId="75888C44" w14:textId="77777777" w:rsidR="00BF60AD" w:rsidRPr="00BF60AD" w:rsidRDefault="00BF60AD" w:rsidP="00BF60AD">
            <w:pPr>
              <w:spacing w:line="360" w:lineRule="auto"/>
              <w:rPr>
                <w:sz w:val="24"/>
                <w:szCs w:val="24"/>
              </w:rPr>
            </w:pPr>
            <w:r w:rsidRPr="00BF60AD">
              <w:rPr>
                <w:sz w:val="24"/>
                <w:szCs w:val="24"/>
              </w:rPr>
              <w:t>0.029**</w:t>
            </w:r>
          </w:p>
        </w:tc>
      </w:tr>
      <w:tr w:rsidR="00BF60AD" w:rsidRPr="00BF60AD" w14:paraId="10A48460" w14:textId="77777777" w:rsidTr="00774C53">
        <w:tc>
          <w:tcPr>
            <w:tcW w:w="6673" w:type="dxa"/>
            <w:tcBorders>
              <w:top w:val="nil"/>
              <w:bottom w:val="nil"/>
            </w:tcBorders>
          </w:tcPr>
          <w:p w14:paraId="6C3D3542"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Patent_Total</w:t>
            </w:r>
            <w:proofErr w:type="spellEnd"/>
            <w:r w:rsidRPr="00BF60AD">
              <w:rPr>
                <w:sz w:val="24"/>
                <w:szCs w:val="24"/>
              </w:rPr>
              <w:t>) → ln(</w:t>
            </w:r>
            <w:proofErr w:type="spellStart"/>
            <w:r w:rsidRPr="00BF60AD">
              <w:rPr>
                <w:sz w:val="24"/>
                <w:szCs w:val="24"/>
              </w:rPr>
              <w:t>Export_Volume</w:t>
            </w:r>
            <w:proofErr w:type="spellEnd"/>
            <w:r w:rsidRPr="00BF60AD">
              <w:rPr>
                <w:sz w:val="24"/>
                <w:szCs w:val="24"/>
              </w:rPr>
              <w:t>)</w:t>
            </w:r>
          </w:p>
        </w:tc>
        <w:tc>
          <w:tcPr>
            <w:tcW w:w="1383" w:type="dxa"/>
            <w:tcBorders>
              <w:top w:val="nil"/>
              <w:bottom w:val="nil"/>
            </w:tcBorders>
          </w:tcPr>
          <w:p w14:paraId="03310AE2" w14:textId="77777777" w:rsidR="00BF60AD" w:rsidRPr="00BF60AD" w:rsidRDefault="00BF60AD" w:rsidP="00BF60AD">
            <w:pPr>
              <w:spacing w:line="360" w:lineRule="auto"/>
              <w:rPr>
                <w:sz w:val="24"/>
                <w:szCs w:val="24"/>
              </w:rPr>
            </w:pPr>
            <w:r w:rsidRPr="00BF60AD">
              <w:rPr>
                <w:sz w:val="24"/>
                <w:szCs w:val="24"/>
              </w:rPr>
              <w:t>3.622</w:t>
            </w:r>
          </w:p>
        </w:tc>
        <w:tc>
          <w:tcPr>
            <w:tcW w:w="1296" w:type="dxa"/>
            <w:tcBorders>
              <w:top w:val="nil"/>
              <w:bottom w:val="nil"/>
            </w:tcBorders>
          </w:tcPr>
          <w:p w14:paraId="0B7B34C8" w14:textId="77777777" w:rsidR="00BF60AD" w:rsidRPr="00BF60AD" w:rsidRDefault="00BF60AD" w:rsidP="00BF60AD">
            <w:pPr>
              <w:spacing w:line="360" w:lineRule="auto"/>
              <w:rPr>
                <w:sz w:val="24"/>
                <w:szCs w:val="24"/>
              </w:rPr>
            </w:pPr>
            <w:r w:rsidRPr="00BF60AD">
              <w:rPr>
                <w:sz w:val="24"/>
                <w:szCs w:val="24"/>
              </w:rPr>
              <w:t>0.031**</w:t>
            </w:r>
          </w:p>
        </w:tc>
      </w:tr>
      <w:tr w:rsidR="00BF60AD" w:rsidRPr="00BF60AD" w14:paraId="532B04F2" w14:textId="77777777" w:rsidTr="00774C53">
        <w:tc>
          <w:tcPr>
            <w:tcW w:w="6673" w:type="dxa"/>
            <w:tcBorders>
              <w:top w:val="nil"/>
              <w:bottom w:val="nil"/>
            </w:tcBorders>
          </w:tcPr>
          <w:p w14:paraId="12770553"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Export_Volume</w:t>
            </w:r>
            <w:proofErr w:type="spellEnd"/>
            <w:r w:rsidRPr="00BF60AD">
              <w:rPr>
                <w:sz w:val="24"/>
                <w:szCs w:val="24"/>
              </w:rPr>
              <w:t>) → ln(</w:t>
            </w:r>
            <w:proofErr w:type="spellStart"/>
            <w:r w:rsidRPr="00BF60AD">
              <w:rPr>
                <w:sz w:val="24"/>
                <w:szCs w:val="24"/>
              </w:rPr>
              <w:t>Patent_Total</w:t>
            </w:r>
            <w:proofErr w:type="spellEnd"/>
            <w:r w:rsidRPr="00BF60AD">
              <w:rPr>
                <w:sz w:val="24"/>
                <w:szCs w:val="24"/>
              </w:rPr>
              <w:t>)</w:t>
            </w:r>
          </w:p>
        </w:tc>
        <w:tc>
          <w:tcPr>
            <w:tcW w:w="1383" w:type="dxa"/>
            <w:tcBorders>
              <w:top w:val="nil"/>
              <w:bottom w:val="nil"/>
            </w:tcBorders>
          </w:tcPr>
          <w:p w14:paraId="7B13FD0E" w14:textId="77777777" w:rsidR="00BF60AD" w:rsidRPr="00BF60AD" w:rsidRDefault="00BF60AD" w:rsidP="00BF60AD">
            <w:pPr>
              <w:spacing w:line="360" w:lineRule="auto"/>
              <w:rPr>
                <w:sz w:val="24"/>
                <w:szCs w:val="24"/>
              </w:rPr>
            </w:pPr>
            <w:r w:rsidRPr="00BF60AD">
              <w:rPr>
                <w:sz w:val="24"/>
                <w:szCs w:val="24"/>
              </w:rPr>
              <w:t>0.713</w:t>
            </w:r>
          </w:p>
        </w:tc>
        <w:tc>
          <w:tcPr>
            <w:tcW w:w="1296" w:type="dxa"/>
            <w:tcBorders>
              <w:top w:val="nil"/>
              <w:bottom w:val="nil"/>
            </w:tcBorders>
          </w:tcPr>
          <w:p w14:paraId="48DFF79C" w14:textId="77777777" w:rsidR="00BF60AD" w:rsidRPr="00BF60AD" w:rsidRDefault="00BF60AD" w:rsidP="00BF60AD">
            <w:pPr>
              <w:spacing w:line="360" w:lineRule="auto"/>
              <w:rPr>
                <w:sz w:val="24"/>
                <w:szCs w:val="24"/>
              </w:rPr>
            </w:pPr>
            <w:r w:rsidRPr="00BF60AD">
              <w:rPr>
                <w:sz w:val="24"/>
                <w:szCs w:val="24"/>
              </w:rPr>
              <w:t>0.493</w:t>
            </w:r>
          </w:p>
        </w:tc>
      </w:tr>
      <w:tr w:rsidR="00BF60AD" w:rsidRPr="00BF60AD" w14:paraId="5E7BC1A9" w14:textId="77777777" w:rsidTr="00774C53">
        <w:tc>
          <w:tcPr>
            <w:tcW w:w="6673" w:type="dxa"/>
            <w:tcBorders>
              <w:top w:val="nil"/>
              <w:bottom w:val="nil"/>
            </w:tcBorders>
          </w:tcPr>
          <w:p w14:paraId="3469999F" w14:textId="77777777" w:rsidR="00BF60AD" w:rsidRPr="00BF60AD" w:rsidRDefault="00BF60AD" w:rsidP="00BF60AD">
            <w:pPr>
              <w:spacing w:line="360" w:lineRule="auto"/>
              <w:rPr>
                <w:sz w:val="24"/>
                <w:szCs w:val="24"/>
              </w:rPr>
            </w:pPr>
            <w:proofErr w:type="spellStart"/>
            <w:r w:rsidRPr="00BF60AD">
              <w:rPr>
                <w:sz w:val="24"/>
                <w:szCs w:val="24"/>
              </w:rPr>
              <w:t>Innovation_Quality</w:t>
            </w:r>
            <w:proofErr w:type="spellEnd"/>
            <w:r w:rsidRPr="00BF60AD">
              <w:rPr>
                <w:sz w:val="24"/>
                <w:szCs w:val="24"/>
              </w:rPr>
              <w:t xml:space="preserve"> → ln(</w:t>
            </w:r>
            <w:proofErr w:type="spellStart"/>
            <w:r w:rsidRPr="00BF60AD">
              <w:rPr>
                <w:sz w:val="24"/>
                <w:szCs w:val="24"/>
              </w:rPr>
              <w:t>Export_Volume</w:t>
            </w:r>
            <w:proofErr w:type="spellEnd"/>
            <w:r w:rsidRPr="00BF60AD">
              <w:rPr>
                <w:sz w:val="24"/>
                <w:szCs w:val="24"/>
              </w:rPr>
              <w:t>)</w:t>
            </w:r>
          </w:p>
        </w:tc>
        <w:tc>
          <w:tcPr>
            <w:tcW w:w="1383" w:type="dxa"/>
            <w:tcBorders>
              <w:top w:val="nil"/>
              <w:bottom w:val="nil"/>
            </w:tcBorders>
          </w:tcPr>
          <w:p w14:paraId="52373D35" w14:textId="77777777" w:rsidR="00BF60AD" w:rsidRPr="00BF60AD" w:rsidRDefault="00BF60AD" w:rsidP="00BF60AD">
            <w:pPr>
              <w:spacing w:line="360" w:lineRule="auto"/>
              <w:rPr>
                <w:sz w:val="24"/>
                <w:szCs w:val="24"/>
              </w:rPr>
            </w:pPr>
            <w:r w:rsidRPr="00BF60AD">
              <w:rPr>
                <w:sz w:val="24"/>
                <w:szCs w:val="24"/>
              </w:rPr>
              <w:t>3.304</w:t>
            </w:r>
          </w:p>
        </w:tc>
        <w:tc>
          <w:tcPr>
            <w:tcW w:w="1296" w:type="dxa"/>
            <w:tcBorders>
              <w:top w:val="nil"/>
              <w:bottom w:val="nil"/>
            </w:tcBorders>
          </w:tcPr>
          <w:p w14:paraId="2C33E8EE" w14:textId="77777777" w:rsidR="00BF60AD" w:rsidRPr="00BF60AD" w:rsidRDefault="00BF60AD" w:rsidP="00BF60AD">
            <w:pPr>
              <w:spacing w:line="360" w:lineRule="auto"/>
              <w:rPr>
                <w:sz w:val="24"/>
                <w:szCs w:val="24"/>
              </w:rPr>
            </w:pPr>
            <w:r w:rsidRPr="00BF60AD">
              <w:rPr>
                <w:sz w:val="24"/>
                <w:szCs w:val="24"/>
              </w:rPr>
              <w:t>0.042**</w:t>
            </w:r>
          </w:p>
        </w:tc>
      </w:tr>
      <w:tr w:rsidR="00BF60AD" w:rsidRPr="00BF60AD" w14:paraId="4D819E2A" w14:textId="77777777" w:rsidTr="00774C53">
        <w:tc>
          <w:tcPr>
            <w:tcW w:w="6673" w:type="dxa"/>
            <w:tcBorders>
              <w:top w:val="nil"/>
              <w:bottom w:val="nil"/>
            </w:tcBorders>
          </w:tcPr>
          <w:p w14:paraId="4CC14A02"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Export_Volume</w:t>
            </w:r>
            <w:proofErr w:type="spellEnd"/>
            <w:r w:rsidRPr="00BF60AD">
              <w:rPr>
                <w:sz w:val="24"/>
                <w:szCs w:val="24"/>
              </w:rPr>
              <w:t xml:space="preserve">) → </w:t>
            </w:r>
            <w:proofErr w:type="spellStart"/>
            <w:r w:rsidRPr="00BF60AD">
              <w:rPr>
                <w:sz w:val="24"/>
                <w:szCs w:val="24"/>
              </w:rPr>
              <w:t>Innovation_Quality</w:t>
            </w:r>
            <w:proofErr w:type="spellEnd"/>
          </w:p>
        </w:tc>
        <w:tc>
          <w:tcPr>
            <w:tcW w:w="1383" w:type="dxa"/>
            <w:tcBorders>
              <w:top w:val="nil"/>
              <w:bottom w:val="nil"/>
            </w:tcBorders>
          </w:tcPr>
          <w:p w14:paraId="2E4111DC" w14:textId="77777777" w:rsidR="00BF60AD" w:rsidRPr="00BF60AD" w:rsidRDefault="00BF60AD" w:rsidP="00BF60AD">
            <w:pPr>
              <w:spacing w:line="360" w:lineRule="auto"/>
              <w:rPr>
                <w:sz w:val="24"/>
                <w:szCs w:val="24"/>
              </w:rPr>
            </w:pPr>
            <w:r w:rsidRPr="00BF60AD">
              <w:rPr>
                <w:sz w:val="24"/>
                <w:szCs w:val="24"/>
              </w:rPr>
              <w:t>0.81</w:t>
            </w:r>
          </w:p>
        </w:tc>
        <w:tc>
          <w:tcPr>
            <w:tcW w:w="1296" w:type="dxa"/>
            <w:tcBorders>
              <w:top w:val="nil"/>
              <w:bottom w:val="nil"/>
            </w:tcBorders>
          </w:tcPr>
          <w:p w14:paraId="1156E450" w14:textId="77777777" w:rsidR="00BF60AD" w:rsidRPr="00BF60AD" w:rsidRDefault="00BF60AD" w:rsidP="00BF60AD">
            <w:pPr>
              <w:spacing w:line="360" w:lineRule="auto"/>
              <w:rPr>
                <w:sz w:val="24"/>
                <w:szCs w:val="24"/>
              </w:rPr>
            </w:pPr>
            <w:r w:rsidRPr="00BF60AD">
              <w:rPr>
                <w:sz w:val="24"/>
                <w:szCs w:val="24"/>
              </w:rPr>
              <w:t>0.449</w:t>
            </w:r>
          </w:p>
        </w:tc>
      </w:tr>
      <w:tr w:rsidR="00BF60AD" w:rsidRPr="00BF60AD" w14:paraId="2484CD06" w14:textId="77777777" w:rsidTr="00774C53">
        <w:tc>
          <w:tcPr>
            <w:tcW w:w="6673" w:type="dxa"/>
            <w:tcBorders>
              <w:top w:val="nil"/>
              <w:bottom w:val="nil"/>
            </w:tcBorders>
          </w:tcPr>
          <w:p w14:paraId="009D8794"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Patent_Total</w:t>
            </w:r>
            <w:proofErr w:type="spellEnd"/>
            <w:r w:rsidRPr="00BF60AD">
              <w:rPr>
                <w:sz w:val="24"/>
                <w:szCs w:val="24"/>
              </w:rPr>
              <w:t>) → ln(</w:t>
            </w:r>
            <w:proofErr w:type="spellStart"/>
            <w:r w:rsidRPr="00BF60AD">
              <w:rPr>
                <w:sz w:val="24"/>
                <w:szCs w:val="24"/>
              </w:rPr>
              <w:t>Export_Price</w:t>
            </w:r>
            <w:proofErr w:type="spellEnd"/>
            <w:r w:rsidRPr="00BF60AD">
              <w:rPr>
                <w:sz w:val="24"/>
                <w:szCs w:val="24"/>
              </w:rPr>
              <w:t>)</w:t>
            </w:r>
          </w:p>
        </w:tc>
        <w:tc>
          <w:tcPr>
            <w:tcW w:w="1383" w:type="dxa"/>
            <w:tcBorders>
              <w:top w:val="nil"/>
              <w:bottom w:val="nil"/>
            </w:tcBorders>
          </w:tcPr>
          <w:p w14:paraId="3666F5D5" w14:textId="77777777" w:rsidR="00BF60AD" w:rsidRPr="00BF60AD" w:rsidRDefault="00BF60AD" w:rsidP="00BF60AD">
            <w:pPr>
              <w:spacing w:line="360" w:lineRule="auto"/>
              <w:rPr>
                <w:sz w:val="24"/>
                <w:szCs w:val="24"/>
              </w:rPr>
            </w:pPr>
            <w:r w:rsidRPr="00BF60AD">
              <w:rPr>
                <w:sz w:val="24"/>
                <w:szCs w:val="24"/>
              </w:rPr>
              <w:t>3.415</w:t>
            </w:r>
          </w:p>
        </w:tc>
        <w:tc>
          <w:tcPr>
            <w:tcW w:w="1296" w:type="dxa"/>
            <w:tcBorders>
              <w:top w:val="nil"/>
              <w:bottom w:val="nil"/>
            </w:tcBorders>
          </w:tcPr>
          <w:p w14:paraId="26F1C7A5" w14:textId="77777777" w:rsidR="00BF60AD" w:rsidRPr="00BF60AD" w:rsidRDefault="00BF60AD" w:rsidP="00BF60AD">
            <w:pPr>
              <w:spacing w:line="360" w:lineRule="auto"/>
              <w:rPr>
                <w:sz w:val="24"/>
                <w:szCs w:val="24"/>
              </w:rPr>
            </w:pPr>
            <w:r w:rsidRPr="00BF60AD">
              <w:rPr>
                <w:sz w:val="24"/>
                <w:szCs w:val="24"/>
              </w:rPr>
              <w:t>0.038**</w:t>
            </w:r>
          </w:p>
        </w:tc>
      </w:tr>
      <w:tr w:rsidR="00BF60AD" w:rsidRPr="00BF60AD" w14:paraId="40894587" w14:textId="77777777" w:rsidTr="00774C53">
        <w:tc>
          <w:tcPr>
            <w:tcW w:w="6673" w:type="dxa"/>
            <w:tcBorders>
              <w:top w:val="nil"/>
              <w:bottom w:val="nil"/>
            </w:tcBorders>
          </w:tcPr>
          <w:p w14:paraId="15BA2EFB"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Export_Price</w:t>
            </w:r>
            <w:proofErr w:type="spellEnd"/>
            <w:r w:rsidRPr="00BF60AD">
              <w:rPr>
                <w:sz w:val="24"/>
                <w:szCs w:val="24"/>
              </w:rPr>
              <w:t>) → ln(</w:t>
            </w:r>
            <w:proofErr w:type="spellStart"/>
            <w:r w:rsidRPr="00BF60AD">
              <w:rPr>
                <w:sz w:val="24"/>
                <w:szCs w:val="24"/>
              </w:rPr>
              <w:t>Patent_Total</w:t>
            </w:r>
            <w:proofErr w:type="spellEnd"/>
            <w:r w:rsidRPr="00BF60AD">
              <w:rPr>
                <w:sz w:val="24"/>
                <w:szCs w:val="24"/>
              </w:rPr>
              <w:t>)</w:t>
            </w:r>
          </w:p>
        </w:tc>
        <w:tc>
          <w:tcPr>
            <w:tcW w:w="1383" w:type="dxa"/>
            <w:tcBorders>
              <w:top w:val="nil"/>
              <w:bottom w:val="nil"/>
            </w:tcBorders>
          </w:tcPr>
          <w:p w14:paraId="22A917D2" w14:textId="77777777" w:rsidR="00BF60AD" w:rsidRPr="00BF60AD" w:rsidRDefault="00BF60AD" w:rsidP="00BF60AD">
            <w:pPr>
              <w:spacing w:line="360" w:lineRule="auto"/>
              <w:rPr>
                <w:sz w:val="24"/>
                <w:szCs w:val="24"/>
              </w:rPr>
            </w:pPr>
            <w:r w:rsidRPr="00BF60AD">
              <w:rPr>
                <w:sz w:val="24"/>
                <w:szCs w:val="24"/>
              </w:rPr>
              <w:t>1.24</w:t>
            </w:r>
          </w:p>
        </w:tc>
        <w:tc>
          <w:tcPr>
            <w:tcW w:w="1296" w:type="dxa"/>
            <w:tcBorders>
              <w:top w:val="nil"/>
              <w:bottom w:val="nil"/>
            </w:tcBorders>
          </w:tcPr>
          <w:p w14:paraId="4C039573" w14:textId="77777777" w:rsidR="00BF60AD" w:rsidRPr="00BF60AD" w:rsidRDefault="00BF60AD" w:rsidP="00BF60AD">
            <w:pPr>
              <w:spacing w:line="360" w:lineRule="auto"/>
              <w:rPr>
                <w:sz w:val="24"/>
                <w:szCs w:val="24"/>
              </w:rPr>
            </w:pPr>
            <w:r w:rsidRPr="00BF60AD">
              <w:rPr>
                <w:sz w:val="24"/>
                <w:szCs w:val="24"/>
              </w:rPr>
              <w:t>0.295</w:t>
            </w:r>
          </w:p>
        </w:tc>
      </w:tr>
      <w:tr w:rsidR="00BF60AD" w:rsidRPr="00BF60AD" w14:paraId="1F1AE21F" w14:textId="77777777" w:rsidTr="00774C53">
        <w:tc>
          <w:tcPr>
            <w:tcW w:w="6673" w:type="dxa"/>
            <w:tcBorders>
              <w:top w:val="nil"/>
              <w:bottom w:val="nil"/>
            </w:tcBorders>
          </w:tcPr>
          <w:p w14:paraId="6D3D2355" w14:textId="77777777" w:rsidR="00BF60AD" w:rsidRPr="00BF60AD" w:rsidRDefault="00BF60AD" w:rsidP="00BF60AD">
            <w:pPr>
              <w:spacing w:line="360" w:lineRule="auto"/>
              <w:rPr>
                <w:sz w:val="24"/>
                <w:szCs w:val="24"/>
              </w:rPr>
            </w:pPr>
            <w:proofErr w:type="spellStart"/>
            <w:r w:rsidRPr="00BF60AD">
              <w:rPr>
                <w:sz w:val="24"/>
                <w:szCs w:val="24"/>
              </w:rPr>
              <w:t>Innovation_Quality</w:t>
            </w:r>
            <w:proofErr w:type="spellEnd"/>
            <w:r w:rsidRPr="00BF60AD">
              <w:rPr>
                <w:sz w:val="24"/>
                <w:szCs w:val="24"/>
              </w:rPr>
              <w:t xml:space="preserve"> → ln(</w:t>
            </w:r>
            <w:proofErr w:type="spellStart"/>
            <w:r w:rsidRPr="00BF60AD">
              <w:rPr>
                <w:sz w:val="24"/>
                <w:szCs w:val="24"/>
              </w:rPr>
              <w:t>Export_Price</w:t>
            </w:r>
            <w:proofErr w:type="spellEnd"/>
            <w:r w:rsidRPr="00BF60AD">
              <w:rPr>
                <w:sz w:val="24"/>
                <w:szCs w:val="24"/>
              </w:rPr>
              <w:t>)</w:t>
            </w:r>
          </w:p>
        </w:tc>
        <w:tc>
          <w:tcPr>
            <w:tcW w:w="1383" w:type="dxa"/>
            <w:tcBorders>
              <w:top w:val="nil"/>
              <w:bottom w:val="nil"/>
            </w:tcBorders>
          </w:tcPr>
          <w:p w14:paraId="5D81652B" w14:textId="77777777" w:rsidR="00BF60AD" w:rsidRPr="00BF60AD" w:rsidRDefault="00BF60AD" w:rsidP="00BF60AD">
            <w:pPr>
              <w:spacing w:line="360" w:lineRule="auto"/>
              <w:rPr>
                <w:sz w:val="24"/>
                <w:szCs w:val="24"/>
              </w:rPr>
            </w:pPr>
            <w:r w:rsidRPr="00BF60AD">
              <w:rPr>
                <w:sz w:val="24"/>
                <w:szCs w:val="24"/>
              </w:rPr>
              <w:t>3.437</w:t>
            </w:r>
          </w:p>
        </w:tc>
        <w:tc>
          <w:tcPr>
            <w:tcW w:w="1296" w:type="dxa"/>
            <w:tcBorders>
              <w:top w:val="nil"/>
              <w:bottom w:val="nil"/>
            </w:tcBorders>
          </w:tcPr>
          <w:p w14:paraId="48131509" w14:textId="77777777" w:rsidR="00BF60AD" w:rsidRPr="00BF60AD" w:rsidRDefault="00BF60AD" w:rsidP="00BF60AD">
            <w:pPr>
              <w:spacing w:line="360" w:lineRule="auto"/>
              <w:rPr>
                <w:sz w:val="24"/>
                <w:szCs w:val="24"/>
              </w:rPr>
            </w:pPr>
            <w:r w:rsidRPr="00BF60AD">
              <w:rPr>
                <w:sz w:val="24"/>
                <w:szCs w:val="24"/>
              </w:rPr>
              <w:t>0.037**</w:t>
            </w:r>
          </w:p>
        </w:tc>
      </w:tr>
      <w:tr w:rsidR="00BF60AD" w:rsidRPr="00BF60AD" w14:paraId="59900FA2" w14:textId="77777777" w:rsidTr="00774C53">
        <w:tc>
          <w:tcPr>
            <w:tcW w:w="6673" w:type="dxa"/>
            <w:tcBorders>
              <w:top w:val="nil"/>
              <w:bottom w:val="nil"/>
            </w:tcBorders>
          </w:tcPr>
          <w:p w14:paraId="65618FA8" w14:textId="77777777" w:rsidR="00BF60AD" w:rsidRPr="00BF60AD" w:rsidRDefault="00BF60AD" w:rsidP="00BF60AD">
            <w:pPr>
              <w:spacing w:line="360" w:lineRule="auto"/>
              <w:rPr>
                <w:sz w:val="24"/>
                <w:szCs w:val="24"/>
              </w:rPr>
            </w:pPr>
            <w:r w:rsidRPr="00BF60AD">
              <w:rPr>
                <w:sz w:val="24"/>
                <w:szCs w:val="24"/>
              </w:rPr>
              <w:t>ln(</w:t>
            </w:r>
            <w:proofErr w:type="spellStart"/>
            <w:r w:rsidRPr="00BF60AD">
              <w:rPr>
                <w:sz w:val="24"/>
                <w:szCs w:val="24"/>
              </w:rPr>
              <w:t>Export_Price</w:t>
            </w:r>
            <w:proofErr w:type="spellEnd"/>
            <w:r w:rsidRPr="00BF60AD">
              <w:rPr>
                <w:sz w:val="24"/>
                <w:szCs w:val="24"/>
              </w:rPr>
              <w:t xml:space="preserve">) → </w:t>
            </w:r>
            <w:proofErr w:type="spellStart"/>
            <w:r w:rsidRPr="00BF60AD">
              <w:rPr>
                <w:sz w:val="24"/>
                <w:szCs w:val="24"/>
              </w:rPr>
              <w:t>Innovation_Quality</w:t>
            </w:r>
            <w:proofErr w:type="spellEnd"/>
          </w:p>
        </w:tc>
        <w:tc>
          <w:tcPr>
            <w:tcW w:w="1383" w:type="dxa"/>
            <w:tcBorders>
              <w:top w:val="nil"/>
              <w:bottom w:val="nil"/>
            </w:tcBorders>
          </w:tcPr>
          <w:p w14:paraId="6AD11C69" w14:textId="77777777" w:rsidR="00BF60AD" w:rsidRPr="00BF60AD" w:rsidRDefault="00BF60AD" w:rsidP="00BF60AD">
            <w:pPr>
              <w:spacing w:line="360" w:lineRule="auto"/>
              <w:rPr>
                <w:sz w:val="24"/>
                <w:szCs w:val="24"/>
              </w:rPr>
            </w:pPr>
            <w:r w:rsidRPr="00BF60AD">
              <w:rPr>
                <w:sz w:val="24"/>
                <w:szCs w:val="24"/>
              </w:rPr>
              <w:t>0.586</w:t>
            </w:r>
          </w:p>
        </w:tc>
        <w:tc>
          <w:tcPr>
            <w:tcW w:w="1296" w:type="dxa"/>
            <w:tcBorders>
              <w:top w:val="nil"/>
              <w:bottom w:val="nil"/>
            </w:tcBorders>
          </w:tcPr>
          <w:p w14:paraId="733BD610" w14:textId="77777777" w:rsidR="00BF60AD" w:rsidRPr="00BF60AD" w:rsidRDefault="00BF60AD" w:rsidP="00BF60AD">
            <w:pPr>
              <w:spacing w:line="360" w:lineRule="auto"/>
              <w:rPr>
                <w:sz w:val="24"/>
                <w:szCs w:val="24"/>
              </w:rPr>
            </w:pPr>
            <w:r w:rsidRPr="00BF60AD">
              <w:rPr>
                <w:sz w:val="24"/>
                <w:szCs w:val="24"/>
              </w:rPr>
              <w:t>0.559</w:t>
            </w:r>
          </w:p>
        </w:tc>
      </w:tr>
      <w:tr w:rsidR="00BF60AD" w:rsidRPr="00BF60AD" w14:paraId="1866CDCD" w14:textId="77777777" w:rsidTr="00774C53">
        <w:tc>
          <w:tcPr>
            <w:tcW w:w="6673" w:type="dxa"/>
            <w:tcBorders>
              <w:top w:val="nil"/>
              <w:bottom w:val="nil"/>
            </w:tcBorders>
          </w:tcPr>
          <w:p w14:paraId="06B4A261" w14:textId="77777777" w:rsidR="00BF60AD" w:rsidRPr="00BF60AD" w:rsidRDefault="00BF60AD" w:rsidP="00BF60AD">
            <w:pPr>
              <w:spacing w:line="360" w:lineRule="auto"/>
              <w:rPr>
                <w:sz w:val="24"/>
                <w:szCs w:val="24"/>
              </w:rPr>
            </w:pPr>
            <w:proofErr w:type="spellStart"/>
            <w:r w:rsidRPr="00BF60AD">
              <w:rPr>
                <w:sz w:val="24"/>
                <w:szCs w:val="24"/>
              </w:rPr>
              <w:t>Innovation_Quality</w:t>
            </w:r>
            <w:proofErr w:type="spellEnd"/>
            <w:r w:rsidRPr="00BF60AD">
              <w:rPr>
                <w:sz w:val="24"/>
                <w:szCs w:val="24"/>
              </w:rPr>
              <w:t xml:space="preserve"> → ln(</w:t>
            </w:r>
            <w:proofErr w:type="spellStart"/>
            <w:r w:rsidRPr="00BF60AD">
              <w:rPr>
                <w:sz w:val="24"/>
                <w:szCs w:val="24"/>
              </w:rPr>
              <w:t>Patent_Total</w:t>
            </w:r>
            <w:proofErr w:type="spellEnd"/>
            <w:r w:rsidRPr="00BF60AD">
              <w:rPr>
                <w:sz w:val="24"/>
                <w:szCs w:val="24"/>
              </w:rPr>
              <w:t>)</w:t>
            </w:r>
          </w:p>
        </w:tc>
        <w:tc>
          <w:tcPr>
            <w:tcW w:w="1383" w:type="dxa"/>
            <w:tcBorders>
              <w:top w:val="nil"/>
              <w:bottom w:val="nil"/>
            </w:tcBorders>
          </w:tcPr>
          <w:p w14:paraId="5AC625A0" w14:textId="77777777" w:rsidR="00BF60AD" w:rsidRPr="00BF60AD" w:rsidRDefault="00BF60AD" w:rsidP="00BF60AD">
            <w:pPr>
              <w:spacing w:line="360" w:lineRule="auto"/>
              <w:rPr>
                <w:sz w:val="24"/>
                <w:szCs w:val="24"/>
              </w:rPr>
            </w:pPr>
            <w:r w:rsidRPr="00BF60AD">
              <w:rPr>
                <w:sz w:val="24"/>
                <w:szCs w:val="24"/>
              </w:rPr>
              <w:t>5.568</w:t>
            </w:r>
          </w:p>
        </w:tc>
        <w:tc>
          <w:tcPr>
            <w:tcW w:w="1296" w:type="dxa"/>
            <w:tcBorders>
              <w:top w:val="nil"/>
              <w:bottom w:val="nil"/>
            </w:tcBorders>
          </w:tcPr>
          <w:p w14:paraId="7E9E426A" w14:textId="77777777" w:rsidR="00BF60AD" w:rsidRPr="00BF60AD" w:rsidRDefault="00BF60AD" w:rsidP="00BF60AD">
            <w:pPr>
              <w:spacing w:line="360" w:lineRule="auto"/>
              <w:rPr>
                <w:sz w:val="24"/>
                <w:szCs w:val="24"/>
              </w:rPr>
            </w:pPr>
            <w:r w:rsidRPr="00BF60AD">
              <w:rPr>
                <w:sz w:val="24"/>
                <w:szCs w:val="24"/>
              </w:rPr>
              <w:t>0.006***</w:t>
            </w:r>
          </w:p>
        </w:tc>
      </w:tr>
      <w:tr w:rsidR="00BF60AD" w:rsidRPr="00BF60AD" w14:paraId="49D44EEE" w14:textId="77777777" w:rsidTr="00774C53">
        <w:tc>
          <w:tcPr>
            <w:tcW w:w="6673" w:type="dxa"/>
            <w:tcBorders>
              <w:top w:val="nil"/>
              <w:bottom w:val="single" w:sz="12" w:space="0" w:color="auto"/>
            </w:tcBorders>
          </w:tcPr>
          <w:p w14:paraId="3AF1FD87" w14:textId="77777777" w:rsidR="00BF60AD" w:rsidRPr="00BF60AD" w:rsidRDefault="00BF60AD" w:rsidP="00BF60AD">
            <w:pPr>
              <w:spacing w:line="360" w:lineRule="auto"/>
              <w:rPr>
                <w:sz w:val="24"/>
                <w:szCs w:val="24"/>
              </w:rPr>
            </w:pPr>
            <w:proofErr w:type="spellStart"/>
            <w:r w:rsidRPr="00BF60AD">
              <w:rPr>
                <w:sz w:val="24"/>
                <w:szCs w:val="24"/>
              </w:rPr>
              <w:t>ln_patent</w:t>
            </w:r>
            <w:proofErr w:type="spellEnd"/>
            <w:r w:rsidRPr="00BF60AD">
              <w:rPr>
                <w:sz w:val="24"/>
                <w:szCs w:val="24"/>
              </w:rPr>
              <w:t xml:space="preserve"> does not Granger Cause quality</w:t>
            </w:r>
          </w:p>
        </w:tc>
        <w:tc>
          <w:tcPr>
            <w:tcW w:w="1383" w:type="dxa"/>
            <w:tcBorders>
              <w:top w:val="nil"/>
              <w:bottom w:val="single" w:sz="12" w:space="0" w:color="auto"/>
            </w:tcBorders>
          </w:tcPr>
          <w:p w14:paraId="7097E587" w14:textId="77777777" w:rsidR="00BF60AD" w:rsidRPr="00BF60AD" w:rsidRDefault="00BF60AD" w:rsidP="00BF60AD">
            <w:pPr>
              <w:spacing w:line="360" w:lineRule="auto"/>
              <w:rPr>
                <w:sz w:val="24"/>
                <w:szCs w:val="24"/>
              </w:rPr>
            </w:pPr>
            <w:r w:rsidRPr="00BF60AD">
              <w:rPr>
                <w:sz w:val="24"/>
                <w:szCs w:val="24"/>
              </w:rPr>
              <w:t>2.799</w:t>
            </w:r>
          </w:p>
        </w:tc>
        <w:tc>
          <w:tcPr>
            <w:tcW w:w="1296" w:type="dxa"/>
            <w:tcBorders>
              <w:top w:val="nil"/>
              <w:bottom w:val="single" w:sz="12" w:space="0" w:color="auto"/>
            </w:tcBorders>
          </w:tcPr>
          <w:p w14:paraId="0E4D62CF" w14:textId="77777777" w:rsidR="00BF60AD" w:rsidRPr="00BF60AD" w:rsidRDefault="00BF60AD" w:rsidP="00BF60AD">
            <w:pPr>
              <w:spacing w:line="360" w:lineRule="auto"/>
              <w:rPr>
                <w:sz w:val="24"/>
                <w:szCs w:val="24"/>
              </w:rPr>
            </w:pPr>
            <w:r w:rsidRPr="00BF60AD">
              <w:rPr>
                <w:sz w:val="24"/>
                <w:szCs w:val="24"/>
              </w:rPr>
              <w:t>0.067*</w:t>
            </w:r>
          </w:p>
        </w:tc>
      </w:tr>
    </w:tbl>
    <w:p w14:paraId="70E4CEFC" w14:textId="77777777" w:rsidR="00BF60AD" w:rsidRPr="00BF60AD" w:rsidRDefault="00BF60AD" w:rsidP="00BF60AD">
      <w:pPr>
        <w:spacing w:line="360" w:lineRule="auto"/>
        <w:rPr>
          <w:rFonts w:eastAsia="Times New Roman" w:cs="Times New Roman"/>
          <w:sz w:val="24"/>
        </w:rPr>
      </w:pPr>
      <w:r w:rsidRPr="00BF60AD">
        <w:rPr>
          <w:rFonts w:eastAsia="Times New Roman" w:cs="Times New Roman"/>
          <w:sz w:val="24"/>
        </w:rPr>
        <w:t>Note. ***, **, * denote significance at the 1%, 5%, and 10% levels, respectively.*</w:t>
      </w:r>
    </w:p>
    <w:p w14:paraId="14E5812D" w14:textId="77777777" w:rsidR="00BF60AD" w:rsidRPr="00BF60AD" w:rsidRDefault="00BF60AD" w:rsidP="00BF60AD">
      <w:pPr>
        <w:spacing w:line="360" w:lineRule="auto"/>
        <w:ind w:firstLineChars="100" w:firstLine="240"/>
        <w:rPr>
          <w:rFonts w:eastAsiaTheme="minorEastAsia" w:cs="Times New Roman"/>
          <w:sz w:val="24"/>
        </w:rPr>
      </w:pPr>
    </w:p>
    <w:p w14:paraId="439956EA" w14:textId="77777777" w:rsidR="00BF60AD" w:rsidRPr="00BF60AD" w:rsidRDefault="00BF60AD" w:rsidP="00BF60AD">
      <w:pPr>
        <w:pStyle w:val="a9"/>
        <w:spacing w:line="360" w:lineRule="auto"/>
        <w:ind w:left="0"/>
        <w:rPr>
          <w:rFonts w:eastAsia="宋体" w:cs="Times New Roman"/>
          <w:b/>
          <w:bCs/>
          <w:sz w:val="24"/>
        </w:rPr>
      </w:pPr>
      <w:r w:rsidRPr="00BF60AD">
        <w:rPr>
          <w:rFonts w:eastAsia="宋体" w:cs="Times New Roman"/>
          <w:b/>
          <w:bCs/>
          <w:sz w:val="24"/>
        </w:rPr>
        <w:t>4.3. Impulse Response Analysis</w:t>
      </w:r>
    </w:p>
    <w:p w14:paraId="6CA8385B"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heme="minorEastAsia" w:cs="Times New Roman"/>
          <w:sz w:val="24"/>
        </w:rPr>
        <w:t>The impulse response analysis reveals the direction and pattern of influence, while the variance decomposition quantifies the relative importance of different shocks.</w:t>
      </w:r>
    </w:p>
    <w:p w14:paraId="0C86E3BD" w14:textId="77777777" w:rsidR="00BF60AD" w:rsidRPr="00BF60AD" w:rsidRDefault="00BF60AD" w:rsidP="00BF60AD">
      <w:pPr>
        <w:spacing w:line="360" w:lineRule="auto"/>
        <w:rPr>
          <w:rFonts w:eastAsiaTheme="minorEastAsia" w:cs="Times New Roman"/>
          <w:sz w:val="24"/>
        </w:rPr>
      </w:pPr>
    </w:p>
    <w:p w14:paraId="2DDB73B2" w14:textId="77777777" w:rsidR="00BF60AD" w:rsidRPr="00BF60AD" w:rsidRDefault="00BF60AD" w:rsidP="00BF60AD">
      <w:pPr>
        <w:spacing w:line="360" w:lineRule="auto"/>
        <w:rPr>
          <w:rFonts w:eastAsiaTheme="minorEastAsia" w:cs="Times New Roman"/>
          <w:sz w:val="24"/>
        </w:rPr>
      </w:pPr>
      <w:r w:rsidRPr="00BF60AD">
        <w:rPr>
          <w:rFonts w:cs="Times New Roman"/>
          <w:noProof/>
          <w:sz w:val="24"/>
          <w:lang w:val="zh-CN"/>
        </w:rPr>
        <w:lastRenderedPageBreak/>
        <w:drawing>
          <wp:inline distT="0" distB="0" distL="0" distR="0" wp14:anchorId="1CA70C26" wp14:editId="4CCF422F">
            <wp:extent cx="4438320" cy="2520000"/>
            <wp:effectExtent l="0" t="0" r="635"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8320" cy="2520000"/>
                    </a:xfrm>
                    <a:prstGeom prst="rect">
                      <a:avLst/>
                    </a:prstGeom>
                  </pic:spPr>
                </pic:pic>
              </a:graphicData>
            </a:graphic>
          </wp:inline>
        </w:drawing>
      </w:r>
    </w:p>
    <w:p w14:paraId="56F249AE" w14:textId="77777777" w:rsidR="00BF60AD" w:rsidRPr="00BF60AD" w:rsidRDefault="00BF60AD" w:rsidP="00BF60AD">
      <w:pPr>
        <w:spacing w:line="360" w:lineRule="auto"/>
        <w:rPr>
          <w:rFonts w:eastAsiaTheme="minorEastAsia" w:cs="Times New Roman"/>
          <w:i/>
          <w:sz w:val="24"/>
        </w:rPr>
      </w:pPr>
      <w:r w:rsidRPr="00BF60AD">
        <w:rPr>
          <w:rFonts w:eastAsia="Times New Roman" w:cs="Times New Roman"/>
          <w:i/>
          <w:sz w:val="24"/>
        </w:rPr>
        <w:t xml:space="preserve">Figure </w:t>
      </w:r>
      <w:r w:rsidRPr="00BF60AD">
        <w:rPr>
          <w:rFonts w:eastAsiaTheme="minorEastAsia" w:cs="Times New Roman"/>
          <w:i/>
          <w:sz w:val="24"/>
        </w:rPr>
        <w:t>4</w:t>
      </w:r>
      <w:r w:rsidRPr="00BF60AD">
        <w:rPr>
          <w:rFonts w:eastAsia="Times New Roman" w:cs="Times New Roman"/>
          <w:i/>
          <w:sz w:val="24"/>
        </w:rPr>
        <w:t>.</w:t>
      </w:r>
      <w:r w:rsidRPr="00BF60AD">
        <w:rPr>
          <w:rFonts w:eastAsiaTheme="minorEastAsia" w:cs="Times New Roman"/>
          <w:i/>
          <w:sz w:val="24"/>
        </w:rPr>
        <w:t>2</w:t>
      </w:r>
      <w:r w:rsidRPr="00BF60AD">
        <w:rPr>
          <w:rFonts w:eastAsia="Times New Roman" w:cs="Times New Roman"/>
          <w:i/>
          <w:sz w:val="24"/>
        </w:rPr>
        <w:t>:</w:t>
      </w:r>
      <w:r w:rsidRPr="00BF60AD">
        <w:rPr>
          <w:rFonts w:cs="Times New Roman"/>
          <w:sz w:val="24"/>
        </w:rPr>
        <w:t xml:space="preserve"> </w:t>
      </w:r>
      <w:r w:rsidRPr="00BF60AD">
        <w:rPr>
          <w:rFonts w:eastAsia="Times New Roman" w:cs="Times New Roman"/>
          <w:i/>
          <w:sz w:val="24"/>
        </w:rPr>
        <w:t>Response of Export Volume to Innovation Quality Shock</w:t>
      </w:r>
    </w:p>
    <w:p w14:paraId="28018622" w14:textId="77777777" w:rsidR="00BF60AD" w:rsidRPr="00BF60AD" w:rsidRDefault="00BF60AD" w:rsidP="00BF60AD">
      <w:pPr>
        <w:spacing w:line="360" w:lineRule="auto"/>
        <w:rPr>
          <w:rFonts w:eastAsiaTheme="minorEastAsia" w:cs="Times New Roman"/>
          <w:sz w:val="24"/>
        </w:rPr>
      </w:pPr>
    </w:p>
    <w:p w14:paraId="5D838BBC" w14:textId="77777777" w:rsidR="00BF60AD" w:rsidRPr="00BF60AD" w:rsidRDefault="00BF60AD" w:rsidP="00BF60AD">
      <w:pPr>
        <w:spacing w:line="360" w:lineRule="auto"/>
        <w:ind w:firstLineChars="100" w:firstLine="240"/>
        <w:rPr>
          <w:rFonts w:eastAsiaTheme="minorEastAsia" w:cs="Times New Roman"/>
          <w:color w:val="0F1115"/>
          <w:sz w:val="24"/>
          <w:shd w:val="clear" w:color="auto" w:fill="FFFFFF"/>
        </w:rPr>
      </w:pPr>
      <w:r w:rsidRPr="00BF60AD">
        <w:rPr>
          <w:rFonts w:cs="Times New Roman"/>
          <w:color w:val="0F1115"/>
          <w:sz w:val="24"/>
          <w:shd w:val="clear" w:color="auto" w:fill="FFFFFF"/>
        </w:rPr>
        <w:t>After giving a positive shock to "Innovation Quality," the export scale shows a significant positive response in the short term, peaking around period 2. This indicates that the optimization of the innovation structure (transition towards higher-value invention patents) can be quickly translated into international market competitiveness, effectively driving the growth of export volume.</w:t>
      </w:r>
    </w:p>
    <w:p w14:paraId="1A948CC8" w14:textId="77777777" w:rsidR="00BF60AD" w:rsidRPr="00BF60AD" w:rsidRDefault="00BF60AD" w:rsidP="00BF60AD">
      <w:pPr>
        <w:spacing w:line="360" w:lineRule="auto"/>
        <w:rPr>
          <w:rFonts w:eastAsiaTheme="minorEastAsia" w:cs="Times New Roman"/>
          <w:sz w:val="24"/>
        </w:rPr>
      </w:pPr>
    </w:p>
    <w:p w14:paraId="4FE99432" w14:textId="77777777" w:rsidR="00BF60AD" w:rsidRPr="00BF60AD" w:rsidRDefault="00BF60AD" w:rsidP="00BF60AD">
      <w:pPr>
        <w:spacing w:line="360" w:lineRule="auto"/>
        <w:rPr>
          <w:rFonts w:eastAsiaTheme="minorEastAsia" w:cs="Times New Roman"/>
          <w:sz w:val="24"/>
        </w:rPr>
      </w:pPr>
      <w:r w:rsidRPr="00BF60AD">
        <w:rPr>
          <w:rFonts w:cs="Times New Roman"/>
          <w:noProof/>
          <w:sz w:val="24"/>
        </w:rPr>
        <w:drawing>
          <wp:inline distT="0" distB="0" distL="0" distR="0" wp14:anchorId="769FCC98" wp14:editId="462AEB5A">
            <wp:extent cx="4438321" cy="2520000"/>
            <wp:effectExtent l="0" t="0" r="635" b="0"/>
            <wp:docPr id="10" name="图片 10"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表, 折线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8321" cy="2520000"/>
                    </a:xfrm>
                    <a:prstGeom prst="rect">
                      <a:avLst/>
                    </a:prstGeom>
                  </pic:spPr>
                </pic:pic>
              </a:graphicData>
            </a:graphic>
          </wp:inline>
        </w:drawing>
      </w:r>
    </w:p>
    <w:p w14:paraId="4EE71D34" w14:textId="77777777" w:rsidR="00BF60AD" w:rsidRPr="00BF60AD" w:rsidRDefault="00BF60AD" w:rsidP="00BF60AD">
      <w:pPr>
        <w:spacing w:line="360" w:lineRule="auto"/>
        <w:rPr>
          <w:rFonts w:eastAsia="宋体" w:cs="Times New Roman"/>
          <w:i/>
          <w:sz w:val="24"/>
        </w:rPr>
      </w:pPr>
      <w:r w:rsidRPr="00BF60AD">
        <w:rPr>
          <w:rFonts w:eastAsia="Times New Roman" w:cs="Times New Roman"/>
          <w:i/>
          <w:sz w:val="24"/>
        </w:rPr>
        <w:t xml:space="preserve">Figure </w:t>
      </w:r>
      <w:r w:rsidRPr="00BF60AD">
        <w:rPr>
          <w:rFonts w:eastAsiaTheme="minorEastAsia" w:cs="Times New Roman"/>
          <w:i/>
          <w:sz w:val="24"/>
        </w:rPr>
        <w:t>4</w:t>
      </w:r>
      <w:r w:rsidRPr="00BF60AD">
        <w:rPr>
          <w:rFonts w:eastAsia="Times New Roman" w:cs="Times New Roman"/>
          <w:i/>
          <w:sz w:val="24"/>
        </w:rPr>
        <w:t>.</w:t>
      </w:r>
      <w:r w:rsidRPr="00BF60AD">
        <w:rPr>
          <w:rFonts w:eastAsiaTheme="minorEastAsia" w:cs="Times New Roman"/>
          <w:i/>
          <w:sz w:val="24"/>
        </w:rPr>
        <w:t>3</w:t>
      </w:r>
      <w:r w:rsidRPr="00BF60AD">
        <w:rPr>
          <w:rFonts w:eastAsia="Times New Roman" w:cs="Times New Roman"/>
          <w:i/>
          <w:sz w:val="24"/>
        </w:rPr>
        <w:t>:</w:t>
      </w:r>
      <w:r w:rsidRPr="00BF60AD">
        <w:rPr>
          <w:rFonts w:cs="Times New Roman"/>
          <w:sz w:val="24"/>
        </w:rPr>
        <w:t xml:space="preserve"> </w:t>
      </w:r>
      <w:r w:rsidRPr="00BF60AD">
        <w:rPr>
          <w:rFonts w:eastAsia="Times New Roman" w:cs="Times New Roman"/>
          <w:i/>
          <w:sz w:val="24"/>
        </w:rPr>
        <w:t>Response of Export Price to Innovation Quality Shock</w:t>
      </w:r>
    </w:p>
    <w:p w14:paraId="135821F8" w14:textId="77777777" w:rsidR="00BF60AD" w:rsidRPr="00BF60AD" w:rsidRDefault="00BF60AD" w:rsidP="00BF60AD">
      <w:pPr>
        <w:spacing w:line="360" w:lineRule="auto"/>
        <w:rPr>
          <w:rFonts w:eastAsiaTheme="minorEastAsia" w:cs="Times New Roman"/>
          <w:sz w:val="24"/>
        </w:rPr>
      </w:pPr>
    </w:p>
    <w:p w14:paraId="371BE4E9" w14:textId="77777777" w:rsidR="00BF60AD" w:rsidRPr="00BF60AD" w:rsidRDefault="00BF60AD" w:rsidP="00BF60AD">
      <w:pPr>
        <w:spacing w:line="360" w:lineRule="auto"/>
        <w:ind w:firstLineChars="100" w:firstLine="240"/>
        <w:rPr>
          <w:rFonts w:cs="Times New Roman"/>
          <w:sz w:val="24"/>
        </w:rPr>
      </w:pPr>
      <w:r w:rsidRPr="00BF60AD">
        <w:rPr>
          <w:rFonts w:cs="Times New Roman"/>
          <w:color w:val="0F1115"/>
          <w:sz w:val="24"/>
          <w:shd w:val="clear" w:color="auto" w:fill="FFFFFF"/>
        </w:rPr>
        <w:t xml:space="preserve">Under the same shock, the response of the export price is more profound. Its positive effect is not only stronger but also maintains a high level throughout the forecasting </w:t>
      </w:r>
      <w:r w:rsidRPr="00BF60AD">
        <w:rPr>
          <w:rFonts w:cs="Times New Roman"/>
          <w:color w:val="0F1115"/>
          <w:sz w:val="24"/>
          <w:shd w:val="clear" w:color="auto" w:fill="FFFFFF"/>
        </w:rPr>
        <w:lastRenderedPageBreak/>
        <w:t>period with minimal decay. This demonstrates that elevating the quality of innovation is the key pathway for firms to achieve distinct product features, strengthen their ability to set prices, and overcome the challenge of competing primarily on low cost. The premium effect it brings is long-term. The transformation of the innovation structure (quality improvement) can both "expand" exports (increase scale) and "strengthen" exports (increase price), serving as a sustainable driving force for the rise in export value.</w:t>
      </w:r>
    </w:p>
    <w:p w14:paraId="442992DD" w14:textId="77777777" w:rsidR="00BF60AD" w:rsidRPr="00BF60AD" w:rsidRDefault="00BF60AD" w:rsidP="00BF60AD">
      <w:pPr>
        <w:spacing w:line="360" w:lineRule="auto"/>
        <w:rPr>
          <w:rFonts w:eastAsiaTheme="minorEastAsia" w:cs="Times New Roman"/>
          <w:sz w:val="24"/>
        </w:rPr>
      </w:pPr>
    </w:p>
    <w:p w14:paraId="09F4086C" w14:textId="77777777" w:rsidR="00BF60AD" w:rsidRPr="00BF60AD" w:rsidRDefault="00BF60AD" w:rsidP="00BF60AD">
      <w:pPr>
        <w:spacing w:line="360" w:lineRule="auto"/>
        <w:rPr>
          <w:rFonts w:eastAsiaTheme="minorEastAsia" w:cs="Times New Roman"/>
          <w:sz w:val="24"/>
        </w:rPr>
      </w:pPr>
      <w:r w:rsidRPr="00BF60AD">
        <w:rPr>
          <w:rFonts w:cs="Times New Roman"/>
          <w:noProof/>
          <w:sz w:val="24"/>
        </w:rPr>
        <w:drawing>
          <wp:inline distT="0" distB="0" distL="0" distR="0" wp14:anchorId="1929676E" wp14:editId="7793B335">
            <wp:extent cx="4438321" cy="2520000"/>
            <wp:effectExtent l="0" t="0" r="635"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38321" cy="2520000"/>
                    </a:xfrm>
                    <a:prstGeom prst="rect">
                      <a:avLst/>
                    </a:prstGeom>
                  </pic:spPr>
                </pic:pic>
              </a:graphicData>
            </a:graphic>
          </wp:inline>
        </w:drawing>
      </w:r>
    </w:p>
    <w:p w14:paraId="71F3CC6E" w14:textId="77777777" w:rsidR="00BF60AD" w:rsidRPr="00BF60AD" w:rsidRDefault="00BF60AD" w:rsidP="00BF60AD">
      <w:pPr>
        <w:spacing w:line="360" w:lineRule="auto"/>
        <w:rPr>
          <w:rFonts w:eastAsia="宋体" w:cs="Times New Roman"/>
          <w:i/>
          <w:sz w:val="24"/>
        </w:rPr>
      </w:pPr>
      <w:r w:rsidRPr="00BF60AD">
        <w:rPr>
          <w:rFonts w:eastAsia="Times New Roman" w:cs="Times New Roman"/>
          <w:i/>
          <w:sz w:val="24"/>
        </w:rPr>
        <w:t xml:space="preserve">Figure </w:t>
      </w:r>
      <w:r w:rsidRPr="00BF60AD">
        <w:rPr>
          <w:rFonts w:eastAsiaTheme="minorEastAsia" w:cs="Times New Roman"/>
          <w:i/>
          <w:sz w:val="24"/>
        </w:rPr>
        <w:t>4</w:t>
      </w:r>
      <w:r w:rsidRPr="00BF60AD">
        <w:rPr>
          <w:rFonts w:eastAsia="Times New Roman" w:cs="Times New Roman"/>
          <w:i/>
          <w:sz w:val="24"/>
        </w:rPr>
        <w:t>.</w:t>
      </w:r>
      <w:r w:rsidRPr="00BF60AD">
        <w:rPr>
          <w:rFonts w:eastAsiaTheme="minorEastAsia" w:cs="Times New Roman"/>
          <w:i/>
          <w:sz w:val="24"/>
        </w:rPr>
        <w:t>4</w:t>
      </w:r>
      <w:r w:rsidRPr="00BF60AD">
        <w:rPr>
          <w:rFonts w:eastAsia="Times New Roman" w:cs="Times New Roman"/>
          <w:i/>
          <w:sz w:val="24"/>
        </w:rPr>
        <w:t>: Response of Innovation Quantity to Innovation Quality Shock</w:t>
      </w:r>
    </w:p>
    <w:p w14:paraId="30F696D1" w14:textId="77777777" w:rsidR="00BF60AD" w:rsidRPr="00BF60AD" w:rsidRDefault="00BF60AD" w:rsidP="00BF60AD">
      <w:pPr>
        <w:spacing w:line="360" w:lineRule="auto"/>
        <w:rPr>
          <w:rFonts w:eastAsiaTheme="minorEastAsia" w:cs="Times New Roman"/>
          <w:sz w:val="24"/>
        </w:rPr>
      </w:pPr>
    </w:p>
    <w:p w14:paraId="7F049754" w14:textId="77777777" w:rsidR="00BF60AD" w:rsidRPr="00BF60AD" w:rsidRDefault="00BF60AD" w:rsidP="00BF60AD">
      <w:pPr>
        <w:spacing w:line="360" w:lineRule="auto"/>
        <w:ind w:firstLineChars="100" w:firstLine="240"/>
        <w:rPr>
          <w:rFonts w:cs="Times New Roman"/>
          <w:sz w:val="24"/>
        </w:rPr>
      </w:pPr>
      <w:r w:rsidRPr="00BF60AD">
        <w:rPr>
          <w:rFonts w:cs="Times New Roman"/>
          <w:color w:val="0F1115"/>
          <w:sz w:val="24"/>
          <w:shd w:val="clear" w:color="auto" w:fill="FFFFFF"/>
        </w:rPr>
        <w:t xml:space="preserve">Comparing the above conclusions with the impulse response graph of "Total Patent Applications" to "Export Price," the effect difference between "quality" and "quantity" can be clearly observed: The limitation of "quantity": Although the shock of the total number of patent applications may also have a weak positive impact on export prices in the short term, its effect strength is far lower than the impact of innovation quality, and its persistence may be shorter. This indicates that simply pursuing the expansion of patent quantity has a relatively limited effect on enhancing the added value of export products. The advantage of "quality": In contrast, the quality indicator "Invention Patent Share" has a superior effect on increasing export prices in terms of strength, persistence, and stability compared to the total patent volume. This strongly proves that in the process of innovation-driven export upgrading, the influence of "quality" far exceeds </w:t>
      </w:r>
      <w:r w:rsidRPr="00BF60AD">
        <w:rPr>
          <w:rFonts w:cs="Times New Roman"/>
          <w:color w:val="0F1115"/>
          <w:sz w:val="24"/>
          <w:shd w:val="clear" w:color="auto" w:fill="FFFFFF"/>
        </w:rPr>
        <w:lastRenderedPageBreak/>
        <w:t>that of "quantity." The dynamic analysis of impulse responses in this study reveals that the core kinetic energy of China's export upgrading is shifting from the past "quantity expansion" to "quality catch-up." Refining the innovation architecture and elevating the share of invention patents proves to be a more efficacious strategy for steering exports onto a sustainable path of concurrent growth in both volume and unit value, as opposed to merely augmenting the sheer number of patents.</w:t>
      </w:r>
    </w:p>
    <w:p w14:paraId="6E2E75B0" w14:textId="77777777" w:rsidR="00BF60AD" w:rsidRPr="00BF60AD" w:rsidRDefault="00BF60AD" w:rsidP="00BF60AD">
      <w:pPr>
        <w:spacing w:line="360" w:lineRule="auto"/>
        <w:rPr>
          <w:rFonts w:eastAsiaTheme="minorEastAsia" w:cs="Times New Roman"/>
          <w:sz w:val="24"/>
        </w:rPr>
      </w:pPr>
    </w:p>
    <w:p w14:paraId="0765CAAA" w14:textId="77777777" w:rsidR="00BF60AD" w:rsidRPr="00BF60AD" w:rsidRDefault="00BF60AD" w:rsidP="00BF60AD">
      <w:pPr>
        <w:pStyle w:val="a9"/>
        <w:spacing w:line="360" w:lineRule="auto"/>
        <w:ind w:left="0"/>
        <w:rPr>
          <w:rFonts w:eastAsia="宋体" w:cs="Times New Roman"/>
          <w:b/>
          <w:bCs/>
          <w:sz w:val="24"/>
        </w:rPr>
      </w:pPr>
      <w:r w:rsidRPr="00BF60AD">
        <w:rPr>
          <w:rFonts w:eastAsia="宋体" w:cs="Times New Roman"/>
          <w:b/>
          <w:bCs/>
          <w:sz w:val="24"/>
        </w:rPr>
        <w:t>4.4. Variance Decomposition</w:t>
      </w:r>
    </w:p>
    <w:p w14:paraId="671C9A9F" w14:textId="77777777" w:rsidR="00BF60AD" w:rsidRPr="00BF60AD" w:rsidRDefault="00BF60AD" w:rsidP="00BF60AD">
      <w:pPr>
        <w:spacing w:line="360" w:lineRule="auto"/>
        <w:ind w:firstLineChars="100" w:firstLine="240"/>
        <w:rPr>
          <w:rFonts w:cs="Times New Roman"/>
          <w:sz w:val="24"/>
        </w:rPr>
      </w:pPr>
      <w:r w:rsidRPr="00BF60AD">
        <w:rPr>
          <w:rFonts w:cs="Times New Roman"/>
          <w:sz w:val="24"/>
        </w:rPr>
        <w:t xml:space="preserve">Variance decomposition quantifies the relative importance of different shocks. By period 12, the contribution of the quality shock to the forecast error variance of </w:t>
      </w:r>
      <w:proofErr w:type="spellStart"/>
      <w:r w:rsidRPr="00BF60AD">
        <w:rPr>
          <w:rFonts w:cs="Times New Roman"/>
          <w:i/>
          <w:iCs/>
          <w:sz w:val="24"/>
        </w:rPr>
        <w:t>ln_volume</w:t>
      </w:r>
      <w:proofErr w:type="spellEnd"/>
      <w:r w:rsidRPr="00BF60AD">
        <w:rPr>
          <w:rFonts w:cs="Times New Roman"/>
          <w:sz w:val="24"/>
        </w:rPr>
        <w:t xml:space="preserve"> stabilizes at 8.07%</w:t>
      </w:r>
      <w:r w:rsidRPr="00BF60AD">
        <w:rPr>
          <w:rFonts w:eastAsiaTheme="minorEastAsia" w:cs="Times New Roman"/>
          <w:sz w:val="24"/>
        </w:rPr>
        <w:t>.</w:t>
      </w:r>
      <w:r w:rsidRPr="00BF60AD">
        <w:rPr>
          <w:rFonts w:cs="Times New Roman"/>
          <w:sz w:val="24"/>
        </w:rPr>
        <w:t xml:space="preserve"> In contrast, the contribution attributable to a shock in </w:t>
      </w:r>
      <w:proofErr w:type="spellStart"/>
      <w:r w:rsidRPr="00BF60AD">
        <w:rPr>
          <w:rFonts w:cs="Times New Roman"/>
          <w:i/>
          <w:iCs/>
          <w:sz w:val="24"/>
        </w:rPr>
        <w:t>ln_patent</w:t>
      </w:r>
      <w:proofErr w:type="spellEnd"/>
      <w:r w:rsidRPr="00BF60AD">
        <w:rPr>
          <w:rFonts w:cs="Times New Roman"/>
          <w:sz w:val="24"/>
        </w:rPr>
        <w:t xml:space="preserve"> (representing innovation quantity) is merely 3.56%. The explanatory capacity of innovation quality exceeds that of innovation quantity by more than a factor of two, thereby providing additional validation for the central conclusion that “quality” predominates over “quantity.”</w:t>
      </w:r>
      <w:r w:rsidRPr="00BF60AD">
        <w:rPr>
          <w:rFonts w:eastAsiaTheme="minorEastAsia" w:cs="Times New Roman"/>
          <w:sz w:val="24"/>
        </w:rPr>
        <w:t xml:space="preserve"> </w:t>
      </w:r>
      <w:r w:rsidRPr="00BF60AD">
        <w:rPr>
          <w:rFonts w:cs="Times New Roman"/>
          <w:sz w:val="24"/>
        </w:rPr>
        <w:t>Moreover, the explanatory power of the quality shock is similar in magnitude to that of the price shock (8.26%). This shows that innovation quality is an external factor that is just as crucial as the fundamental price element in accounting for fluctuations in export volume.</w:t>
      </w:r>
    </w:p>
    <w:p w14:paraId="4F64AED0" w14:textId="77777777" w:rsidR="00BF60AD" w:rsidRPr="00BF60AD" w:rsidRDefault="00BF60AD" w:rsidP="00BF60AD">
      <w:pPr>
        <w:spacing w:line="360" w:lineRule="auto"/>
        <w:rPr>
          <w:rFonts w:eastAsiaTheme="minorEastAsia" w:cs="Times New Roman"/>
          <w:sz w:val="24"/>
        </w:rPr>
      </w:pPr>
    </w:p>
    <w:p w14:paraId="64932E5D" w14:textId="77777777" w:rsidR="00BF60AD" w:rsidRPr="00BF60AD" w:rsidRDefault="00BF60AD" w:rsidP="00BF60AD">
      <w:pPr>
        <w:spacing w:line="360" w:lineRule="auto"/>
        <w:rPr>
          <w:rFonts w:eastAsiaTheme="minorEastAsia" w:cs="Times New Roman"/>
          <w:sz w:val="24"/>
        </w:rPr>
      </w:pPr>
      <w:r w:rsidRPr="00BF60AD">
        <w:rPr>
          <w:rFonts w:eastAsiaTheme="minorEastAsia" w:cs="Times New Roman"/>
          <w:sz w:val="24"/>
        </w:rPr>
        <w:t xml:space="preserve">Table 4.3: Variance Decomposition of </w:t>
      </w:r>
      <w:proofErr w:type="spellStart"/>
      <w:r w:rsidRPr="00BF60AD">
        <w:rPr>
          <w:rFonts w:eastAsiaTheme="minorEastAsia" w:cs="Times New Roman"/>
          <w:sz w:val="24"/>
        </w:rPr>
        <w:t>ln_volume</w:t>
      </w:r>
      <w:proofErr w:type="spellEnd"/>
    </w:p>
    <w:tbl>
      <w:tblPr>
        <w:tblStyle w:val="af1"/>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135"/>
        <w:gridCol w:w="992"/>
        <w:gridCol w:w="1418"/>
        <w:gridCol w:w="1302"/>
        <w:gridCol w:w="1532"/>
        <w:gridCol w:w="1355"/>
      </w:tblGrid>
      <w:tr w:rsidR="00BF60AD" w:rsidRPr="00BF60AD" w14:paraId="3DD2249B" w14:textId="77777777" w:rsidTr="00774C53">
        <w:trPr>
          <w:jc w:val="center"/>
        </w:trPr>
        <w:tc>
          <w:tcPr>
            <w:tcW w:w="1135" w:type="dxa"/>
            <w:tcBorders>
              <w:bottom w:val="single" w:sz="4" w:space="0" w:color="auto"/>
            </w:tcBorders>
          </w:tcPr>
          <w:p w14:paraId="7D668697" w14:textId="77777777" w:rsidR="00BF60AD" w:rsidRPr="00BF60AD" w:rsidRDefault="00BF60AD" w:rsidP="00BF60AD">
            <w:pPr>
              <w:spacing w:line="360" w:lineRule="auto"/>
              <w:rPr>
                <w:sz w:val="24"/>
                <w:szCs w:val="24"/>
              </w:rPr>
            </w:pPr>
            <w:r w:rsidRPr="00BF60AD">
              <w:rPr>
                <w:sz w:val="24"/>
                <w:szCs w:val="24"/>
              </w:rPr>
              <w:t>Period</w:t>
            </w:r>
          </w:p>
        </w:tc>
        <w:tc>
          <w:tcPr>
            <w:tcW w:w="992" w:type="dxa"/>
            <w:tcBorders>
              <w:bottom w:val="single" w:sz="4" w:space="0" w:color="auto"/>
            </w:tcBorders>
          </w:tcPr>
          <w:p w14:paraId="614642C5" w14:textId="77777777" w:rsidR="00BF60AD" w:rsidRPr="00BF60AD" w:rsidRDefault="00BF60AD" w:rsidP="00BF60AD">
            <w:pPr>
              <w:spacing w:line="360" w:lineRule="auto"/>
              <w:rPr>
                <w:sz w:val="24"/>
                <w:szCs w:val="24"/>
              </w:rPr>
            </w:pPr>
            <w:r w:rsidRPr="00BF60AD">
              <w:rPr>
                <w:sz w:val="24"/>
                <w:szCs w:val="24"/>
              </w:rPr>
              <w:t>S.E.</w:t>
            </w:r>
          </w:p>
        </w:tc>
        <w:tc>
          <w:tcPr>
            <w:tcW w:w="1418" w:type="dxa"/>
            <w:tcBorders>
              <w:bottom w:val="single" w:sz="4" w:space="0" w:color="auto"/>
            </w:tcBorders>
          </w:tcPr>
          <w:p w14:paraId="5F7C5967" w14:textId="77777777" w:rsidR="00BF60AD" w:rsidRPr="00BF60AD" w:rsidRDefault="00BF60AD" w:rsidP="00BF60AD">
            <w:pPr>
              <w:spacing w:line="360" w:lineRule="auto"/>
              <w:rPr>
                <w:sz w:val="24"/>
                <w:szCs w:val="24"/>
              </w:rPr>
            </w:pPr>
            <w:proofErr w:type="spellStart"/>
            <w:r w:rsidRPr="00BF60AD">
              <w:rPr>
                <w:sz w:val="24"/>
                <w:szCs w:val="24"/>
              </w:rPr>
              <w:t>ln_volume</w:t>
            </w:r>
            <w:proofErr w:type="spellEnd"/>
          </w:p>
        </w:tc>
        <w:tc>
          <w:tcPr>
            <w:tcW w:w="1302" w:type="dxa"/>
            <w:tcBorders>
              <w:bottom w:val="single" w:sz="4" w:space="0" w:color="auto"/>
            </w:tcBorders>
          </w:tcPr>
          <w:p w14:paraId="407EBC74" w14:textId="77777777" w:rsidR="00BF60AD" w:rsidRPr="00BF60AD" w:rsidRDefault="00BF60AD" w:rsidP="00BF60AD">
            <w:pPr>
              <w:spacing w:line="360" w:lineRule="auto"/>
              <w:rPr>
                <w:sz w:val="24"/>
                <w:szCs w:val="24"/>
              </w:rPr>
            </w:pPr>
            <w:proofErr w:type="spellStart"/>
            <w:r w:rsidRPr="00BF60AD">
              <w:rPr>
                <w:sz w:val="24"/>
                <w:szCs w:val="24"/>
              </w:rPr>
              <w:t>ln_price</w:t>
            </w:r>
            <w:proofErr w:type="spellEnd"/>
          </w:p>
        </w:tc>
        <w:tc>
          <w:tcPr>
            <w:tcW w:w="1532" w:type="dxa"/>
            <w:tcBorders>
              <w:bottom w:val="single" w:sz="4" w:space="0" w:color="auto"/>
            </w:tcBorders>
          </w:tcPr>
          <w:p w14:paraId="59108787" w14:textId="77777777" w:rsidR="00BF60AD" w:rsidRPr="00BF60AD" w:rsidRDefault="00BF60AD" w:rsidP="00BF60AD">
            <w:pPr>
              <w:spacing w:line="360" w:lineRule="auto"/>
              <w:rPr>
                <w:sz w:val="24"/>
                <w:szCs w:val="24"/>
              </w:rPr>
            </w:pPr>
            <w:proofErr w:type="spellStart"/>
            <w:r w:rsidRPr="00BF60AD">
              <w:rPr>
                <w:sz w:val="24"/>
                <w:szCs w:val="24"/>
              </w:rPr>
              <w:t>ln_patent</w:t>
            </w:r>
            <w:proofErr w:type="spellEnd"/>
          </w:p>
        </w:tc>
        <w:tc>
          <w:tcPr>
            <w:tcW w:w="1355" w:type="dxa"/>
            <w:tcBorders>
              <w:bottom w:val="single" w:sz="4" w:space="0" w:color="auto"/>
            </w:tcBorders>
          </w:tcPr>
          <w:p w14:paraId="6A2C3AA1" w14:textId="77777777" w:rsidR="00BF60AD" w:rsidRPr="00BF60AD" w:rsidRDefault="00BF60AD" w:rsidP="00BF60AD">
            <w:pPr>
              <w:spacing w:line="360" w:lineRule="auto"/>
              <w:rPr>
                <w:sz w:val="24"/>
                <w:szCs w:val="24"/>
              </w:rPr>
            </w:pPr>
            <w:r w:rsidRPr="00BF60AD">
              <w:rPr>
                <w:sz w:val="24"/>
                <w:szCs w:val="24"/>
              </w:rPr>
              <w:t>quality</w:t>
            </w:r>
          </w:p>
        </w:tc>
      </w:tr>
      <w:tr w:rsidR="00BF60AD" w:rsidRPr="00BF60AD" w14:paraId="5BCFF761" w14:textId="77777777" w:rsidTr="00774C53">
        <w:trPr>
          <w:jc w:val="center"/>
        </w:trPr>
        <w:tc>
          <w:tcPr>
            <w:tcW w:w="1135" w:type="dxa"/>
            <w:tcBorders>
              <w:top w:val="single" w:sz="4" w:space="0" w:color="auto"/>
              <w:bottom w:val="nil"/>
            </w:tcBorders>
          </w:tcPr>
          <w:p w14:paraId="41D31A49" w14:textId="77777777" w:rsidR="00BF60AD" w:rsidRPr="00BF60AD" w:rsidRDefault="00BF60AD" w:rsidP="00BF60AD">
            <w:pPr>
              <w:spacing w:line="360" w:lineRule="auto"/>
              <w:rPr>
                <w:sz w:val="24"/>
                <w:szCs w:val="24"/>
              </w:rPr>
            </w:pPr>
            <w:r w:rsidRPr="00BF60AD">
              <w:rPr>
                <w:sz w:val="24"/>
                <w:szCs w:val="24"/>
              </w:rPr>
              <w:t>1</w:t>
            </w:r>
          </w:p>
        </w:tc>
        <w:tc>
          <w:tcPr>
            <w:tcW w:w="992" w:type="dxa"/>
            <w:tcBorders>
              <w:top w:val="single" w:sz="4" w:space="0" w:color="auto"/>
              <w:bottom w:val="nil"/>
            </w:tcBorders>
          </w:tcPr>
          <w:p w14:paraId="5AA44367" w14:textId="77777777" w:rsidR="00BF60AD" w:rsidRPr="00BF60AD" w:rsidRDefault="00BF60AD" w:rsidP="00BF60AD">
            <w:pPr>
              <w:spacing w:line="360" w:lineRule="auto"/>
              <w:rPr>
                <w:sz w:val="24"/>
                <w:szCs w:val="24"/>
              </w:rPr>
            </w:pPr>
            <w:r w:rsidRPr="00BF60AD">
              <w:rPr>
                <w:sz w:val="24"/>
                <w:szCs w:val="24"/>
              </w:rPr>
              <w:t>0.435</w:t>
            </w:r>
          </w:p>
        </w:tc>
        <w:tc>
          <w:tcPr>
            <w:tcW w:w="1418" w:type="dxa"/>
            <w:tcBorders>
              <w:top w:val="single" w:sz="4" w:space="0" w:color="auto"/>
              <w:bottom w:val="nil"/>
            </w:tcBorders>
          </w:tcPr>
          <w:p w14:paraId="6ABA9AEF" w14:textId="77777777" w:rsidR="00BF60AD" w:rsidRPr="00BF60AD" w:rsidRDefault="00BF60AD" w:rsidP="00BF60AD">
            <w:pPr>
              <w:spacing w:line="360" w:lineRule="auto"/>
              <w:rPr>
                <w:sz w:val="24"/>
                <w:szCs w:val="24"/>
              </w:rPr>
            </w:pPr>
            <w:r w:rsidRPr="00BF60AD">
              <w:rPr>
                <w:sz w:val="24"/>
                <w:szCs w:val="24"/>
              </w:rPr>
              <w:t>100.000</w:t>
            </w:r>
          </w:p>
        </w:tc>
        <w:tc>
          <w:tcPr>
            <w:tcW w:w="1302" w:type="dxa"/>
            <w:tcBorders>
              <w:top w:val="single" w:sz="4" w:space="0" w:color="auto"/>
              <w:bottom w:val="nil"/>
            </w:tcBorders>
          </w:tcPr>
          <w:p w14:paraId="13D6BED5" w14:textId="77777777" w:rsidR="00BF60AD" w:rsidRPr="00BF60AD" w:rsidRDefault="00BF60AD" w:rsidP="00BF60AD">
            <w:pPr>
              <w:spacing w:line="360" w:lineRule="auto"/>
              <w:rPr>
                <w:sz w:val="24"/>
                <w:szCs w:val="24"/>
              </w:rPr>
            </w:pPr>
            <w:r w:rsidRPr="00BF60AD">
              <w:rPr>
                <w:sz w:val="24"/>
                <w:szCs w:val="24"/>
              </w:rPr>
              <w:t>0.000</w:t>
            </w:r>
          </w:p>
        </w:tc>
        <w:tc>
          <w:tcPr>
            <w:tcW w:w="1532" w:type="dxa"/>
            <w:tcBorders>
              <w:top w:val="single" w:sz="4" w:space="0" w:color="auto"/>
              <w:bottom w:val="nil"/>
            </w:tcBorders>
          </w:tcPr>
          <w:p w14:paraId="3063BC75" w14:textId="77777777" w:rsidR="00BF60AD" w:rsidRPr="00BF60AD" w:rsidRDefault="00BF60AD" w:rsidP="00BF60AD">
            <w:pPr>
              <w:spacing w:line="360" w:lineRule="auto"/>
              <w:rPr>
                <w:sz w:val="24"/>
                <w:szCs w:val="24"/>
              </w:rPr>
            </w:pPr>
            <w:r w:rsidRPr="00BF60AD">
              <w:rPr>
                <w:sz w:val="24"/>
                <w:szCs w:val="24"/>
              </w:rPr>
              <w:t>0.000</w:t>
            </w:r>
          </w:p>
        </w:tc>
        <w:tc>
          <w:tcPr>
            <w:tcW w:w="1355" w:type="dxa"/>
            <w:tcBorders>
              <w:top w:val="single" w:sz="4" w:space="0" w:color="auto"/>
              <w:bottom w:val="nil"/>
            </w:tcBorders>
          </w:tcPr>
          <w:p w14:paraId="7D41AE7D" w14:textId="77777777" w:rsidR="00BF60AD" w:rsidRPr="00BF60AD" w:rsidRDefault="00BF60AD" w:rsidP="00BF60AD">
            <w:pPr>
              <w:spacing w:line="360" w:lineRule="auto"/>
              <w:rPr>
                <w:sz w:val="24"/>
                <w:szCs w:val="24"/>
              </w:rPr>
            </w:pPr>
            <w:r w:rsidRPr="00BF60AD">
              <w:rPr>
                <w:sz w:val="24"/>
                <w:szCs w:val="24"/>
              </w:rPr>
              <w:t>0.000</w:t>
            </w:r>
          </w:p>
        </w:tc>
      </w:tr>
      <w:tr w:rsidR="00BF60AD" w:rsidRPr="00BF60AD" w14:paraId="1811C5A5" w14:textId="77777777" w:rsidTr="00774C53">
        <w:trPr>
          <w:jc w:val="center"/>
        </w:trPr>
        <w:tc>
          <w:tcPr>
            <w:tcW w:w="1135" w:type="dxa"/>
            <w:tcBorders>
              <w:top w:val="nil"/>
              <w:bottom w:val="nil"/>
            </w:tcBorders>
          </w:tcPr>
          <w:p w14:paraId="54523BBF" w14:textId="77777777" w:rsidR="00BF60AD" w:rsidRPr="00BF60AD" w:rsidRDefault="00BF60AD" w:rsidP="00BF60AD">
            <w:pPr>
              <w:spacing w:line="360" w:lineRule="auto"/>
              <w:rPr>
                <w:sz w:val="24"/>
                <w:szCs w:val="24"/>
              </w:rPr>
            </w:pPr>
            <w:r w:rsidRPr="00BF60AD">
              <w:rPr>
                <w:sz w:val="24"/>
                <w:szCs w:val="24"/>
              </w:rPr>
              <w:t>2</w:t>
            </w:r>
          </w:p>
        </w:tc>
        <w:tc>
          <w:tcPr>
            <w:tcW w:w="992" w:type="dxa"/>
            <w:tcBorders>
              <w:top w:val="nil"/>
              <w:bottom w:val="nil"/>
            </w:tcBorders>
          </w:tcPr>
          <w:p w14:paraId="71CB03B9" w14:textId="77777777" w:rsidR="00BF60AD" w:rsidRPr="00BF60AD" w:rsidRDefault="00BF60AD" w:rsidP="00BF60AD">
            <w:pPr>
              <w:spacing w:line="360" w:lineRule="auto"/>
              <w:rPr>
                <w:sz w:val="24"/>
                <w:szCs w:val="24"/>
              </w:rPr>
            </w:pPr>
            <w:r w:rsidRPr="00BF60AD">
              <w:rPr>
                <w:sz w:val="24"/>
                <w:szCs w:val="24"/>
              </w:rPr>
              <w:t>0.468</w:t>
            </w:r>
          </w:p>
        </w:tc>
        <w:tc>
          <w:tcPr>
            <w:tcW w:w="1418" w:type="dxa"/>
            <w:tcBorders>
              <w:top w:val="nil"/>
              <w:bottom w:val="nil"/>
            </w:tcBorders>
          </w:tcPr>
          <w:p w14:paraId="145ABB48" w14:textId="77777777" w:rsidR="00BF60AD" w:rsidRPr="00BF60AD" w:rsidRDefault="00BF60AD" w:rsidP="00BF60AD">
            <w:pPr>
              <w:spacing w:line="360" w:lineRule="auto"/>
              <w:rPr>
                <w:sz w:val="24"/>
                <w:szCs w:val="24"/>
              </w:rPr>
            </w:pPr>
            <w:r w:rsidRPr="00BF60AD">
              <w:rPr>
                <w:sz w:val="24"/>
                <w:szCs w:val="24"/>
              </w:rPr>
              <w:t>97.806</w:t>
            </w:r>
          </w:p>
        </w:tc>
        <w:tc>
          <w:tcPr>
            <w:tcW w:w="1302" w:type="dxa"/>
            <w:tcBorders>
              <w:top w:val="nil"/>
              <w:bottom w:val="nil"/>
            </w:tcBorders>
          </w:tcPr>
          <w:p w14:paraId="77CF825C" w14:textId="77777777" w:rsidR="00BF60AD" w:rsidRPr="00BF60AD" w:rsidRDefault="00BF60AD" w:rsidP="00BF60AD">
            <w:pPr>
              <w:spacing w:line="360" w:lineRule="auto"/>
              <w:rPr>
                <w:sz w:val="24"/>
                <w:szCs w:val="24"/>
              </w:rPr>
            </w:pPr>
            <w:r w:rsidRPr="00BF60AD">
              <w:rPr>
                <w:sz w:val="24"/>
                <w:szCs w:val="24"/>
              </w:rPr>
              <w:t>0.386</w:t>
            </w:r>
          </w:p>
        </w:tc>
        <w:tc>
          <w:tcPr>
            <w:tcW w:w="1532" w:type="dxa"/>
            <w:tcBorders>
              <w:top w:val="nil"/>
              <w:bottom w:val="nil"/>
            </w:tcBorders>
          </w:tcPr>
          <w:p w14:paraId="6EC8EF04" w14:textId="77777777" w:rsidR="00BF60AD" w:rsidRPr="00BF60AD" w:rsidRDefault="00BF60AD" w:rsidP="00BF60AD">
            <w:pPr>
              <w:spacing w:line="360" w:lineRule="auto"/>
              <w:rPr>
                <w:sz w:val="24"/>
                <w:szCs w:val="24"/>
              </w:rPr>
            </w:pPr>
            <w:r w:rsidRPr="00BF60AD">
              <w:rPr>
                <w:sz w:val="24"/>
                <w:szCs w:val="24"/>
              </w:rPr>
              <w:t>1.234</w:t>
            </w:r>
          </w:p>
        </w:tc>
        <w:tc>
          <w:tcPr>
            <w:tcW w:w="1355" w:type="dxa"/>
            <w:tcBorders>
              <w:top w:val="nil"/>
              <w:bottom w:val="nil"/>
            </w:tcBorders>
          </w:tcPr>
          <w:p w14:paraId="2D86665D" w14:textId="77777777" w:rsidR="00BF60AD" w:rsidRPr="00BF60AD" w:rsidRDefault="00BF60AD" w:rsidP="00BF60AD">
            <w:pPr>
              <w:spacing w:line="360" w:lineRule="auto"/>
              <w:rPr>
                <w:sz w:val="24"/>
                <w:szCs w:val="24"/>
              </w:rPr>
            </w:pPr>
            <w:r w:rsidRPr="00BF60AD">
              <w:rPr>
                <w:sz w:val="24"/>
                <w:szCs w:val="24"/>
              </w:rPr>
              <w:t>0.575</w:t>
            </w:r>
          </w:p>
        </w:tc>
      </w:tr>
      <w:tr w:rsidR="00BF60AD" w:rsidRPr="00BF60AD" w14:paraId="6CE00E48" w14:textId="77777777" w:rsidTr="00774C53">
        <w:trPr>
          <w:jc w:val="center"/>
        </w:trPr>
        <w:tc>
          <w:tcPr>
            <w:tcW w:w="1135" w:type="dxa"/>
            <w:tcBorders>
              <w:top w:val="nil"/>
              <w:bottom w:val="nil"/>
            </w:tcBorders>
          </w:tcPr>
          <w:p w14:paraId="7CD805D5" w14:textId="77777777" w:rsidR="00BF60AD" w:rsidRPr="00BF60AD" w:rsidRDefault="00BF60AD" w:rsidP="00BF60AD">
            <w:pPr>
              <w:spacing w:line="360" w:lineRule="auto"/>
              <w:rPr>
                <w:sz w:val="24"/>
                <w:szCs w:val="24"/>
              </w:rPr>
            </w:pPr>
            <w:r w:rsidRPr="00BF60AD">
              <w:rPr>
                <w:sz w:val="24"/>
                <w:szCs w:val="24"/>
              </w:rPr>
              <w:t>3</w:t>
            </w:r>
          </w:p>
        </w:tc>
        <w:tc>
          <w:tcPr>
            <w:tcW w:w="992" w:type="dxa"/>
            <w:tcBorders>
              <w:top w:val="nil"/>
              <w:bottom w:val="nil"/>
            </w:tcBorders>
          </w:tcPr>
          <w:p w14:paraId="0664B3BE" w14:textId="77777777" w:rsidR="00BF60AD" w:rsidRPr="00BF60AD" w:rsidRDefault="00BF60AD" w:rsidP="00BF60AD">
            <w:pPr>
              <w:spacing w:line="360" w:lineRule="auto"/>
              <w:rPr>
                <w:sz w:val="24"/>
                <w:szCs w:val="24"/>
              </w:rPr>
            </w:pPr>
            <w:r w:rsidRPr="00BF60AD">
              <w:rPr>
                <w:sz w:val="24"/>
                <w:szCs w:val="24"/>
              </w:rPr>
              <w:t>0.536</w:t>
            </w:r>
          </w:p>
        </w:tc>
        <w:tc>
          <w:tcPr>
            <w:tcW w:w="1418" w:type="dxa"/>
            <w:tcBorders>
              <w:top w:val="nil"/>
              <w:bottom w:val="nil"/>
            </w:tcBorders>
          </w:tcPr>
          <w:p w14:paraId="60504122" w14:textId="77777777" w:rsidR="00BF60AD" w:rsidRPr="00BF60AD" w:rsidRDefault="00BF60AD" w:rsidP="00BF60AD">
            <w:pPr>
              <w:spacing w:line="360" w:lineRule="auto"/>
              <w:rPr>
                <w:sz w:val="24"/>
                <w:szCs w:val="24"/>
              </w:rPr>
            </w:pPr>
            <w:r w:rsidRPr="00BF60AD">
              <w:rPr>
                <w:sz w:val="24"/>
                <w:szCs w:val="24"/>
              </w:rPr>
              <w:t>93.304</w:t>
            </w:r>
          </w:p>
        </w:tc>
        <w:tc>
          <w:tcPr>
            <w:tcW w:w="1302" w:type="dxa"/>
            <w:tcBorders>
              <w:top w:val="nil"/>
              <w:bottom w:val="nil"/>
            </w:tcBorders>
          </w:tcPr>
          <w:p w14:paraId="01DFAFA3" w14:textId="77777777" w:rsidR="00BF60AD" w:rsidRPr="00BF60AD" w:rsidRDefault="00BF60AD" w:rsidP="00BF60AD">
            <w:pPr>
              <w:spacing w:line="360" w:lineRule="auto"/>
              <w:rPr>
                <w:sz w:val="24"/>
                <w:szCs w:val="24"/>
              </w:rPr>
            </w:pPr>
            <w:r w:rsidRPr="00BF60AD">
              <w:rPr>
                <w:sz w:val="24"/>
                <w:szCs w:val="24"/>
              </w:rPr>
              <w:t>2.436</w:t>
            </w:r>
          </w:p>
        </w:tc>
        <w:tc>
          <w:tcPr>
            <w:tcW w:w="1532" w:type="dxa"/>
            <w:tcBorders>
              <w:top w:val="nil"/>
              <w:bottom w:val="nil"/>
            </w:tcBorders>
          </w:tcPr>
          <w:p w14:paraId="7D61C479" w14:textId="77777777" w:rsidR="00BF60AD" w:rsidRPr="00BF60AD" w:rsidRDefault="00BF60AD" w:rsidP="00BF60AD">
            <w:pPr>
              <w:spacing w:line="360" w:lineRule="auto"/>
              <w:rPr>
                <w:sz w:val="24"/>
                <w:szCs w:val="24"/>
              </w:rPr>
            </w:pPr>
            <w:r w:rsidRPr="00BF60AD">
              <w:rPr>
                <w:sz w:val="24"/>
                <w:szCs w:val="24"/>
              </w:rPr>
              <w:t>1.855</w:t>
            </w:r>
          </w:p>
        </w:tc>
        <w:tc>
          <w:tcPr>
            <w:tcW w:w="1355" w:type="dxa"/>
            <w:tcBorders>
              <w:top w:val="nil"/>
              <w:bottom w:val="nil"/>
            </w:tcBorders>
          </w:tcPr>
          <w:p w14:paraId="2ABB4202" w14:textId="77777777" w:rsidR="00BF60AD" w:rsidRPr="00BF60AD" w:rsidRDefault="00BF60AD" w:rsidP="00BF60AD">
            <w:pPr>
              <w:spacing w:line="360" w:lineRule="auto"/>
              <w:rPr>
                <w:sz w:val="24"/>
                <w:szCs w:val="24"/>
              </w:rPr>
            </w:pPr>
            <w:r w:rsidRPr="00BF60AD">
              <w:rPr>
                <w:sz w:val="24"/>
                <w:szCs w:val="24"/>
              </w:rPr>
              <w:t>2.405</w:t>
            </w:r>
          </w:p>
        </w:tc>
      </w:tr>
      <w:tr w:rsidR="00BF60AD" w:rsidRPr="00BF60AD" w14:paraId="68EEC710" w14:textId="77777777" w:rsidTr="00774C53">
        <w:trPr>
          <w:jc w:val="center"/>
        </w:trPr>
        <w:tc>
          <w:tcPr>
            <w:tcW w:w="1135" w:type="dxa"/>
            <w:tcBorders>
              <w:top w:val="nil"/>
              <w:bottom w:val="nil"/>
            </w:tcBorders>
          </w:tcPr>
          <w:p w14:paraId="6A90CBE7" w14:textId="77777777" w:rsidR="00BF60AD" w:rsidRPr="00BF60AD" w:rsidRDefault="00BF60AD" w:rsidP="00BF60AD">
            <w:pPr>
              <w:spacing w:line="360" w:lineRule="auto"/>
              <w:rPr>
                <w:sz w:val="24"/>
                <w:szCs w:val="24"/>
              </w:rPr>
            </w:pPr>
            <w:r w:rsidRPr="00BF60AD">
              <w:rPr>
                <w:sz w:val="24"/>
                <w:szCs w:val="24"/>
              </w:rPr>
              <w:t>4</w:t>
            </w:r>
          </w:p>
        </w:tc>
        <w:tc>
          <w:tcPr>
            <w:tcW w:w="992" w:type="dxa"/>
            <w:tcBorders>
              <w:top w:val="nil"/>
              <w:bottom w:val="nil"/>
            </w:tcBorders>
          </w:tcPr>
          <w:p w14:paraId="4FEB3E66" w14:textId="77777777" w:rsidR="00BF60AD" w:rsidRPr="00BF60AD" w:rsidRDefault="00BF60AD" w:rsidP="00BF60AD">
            <w:pPr>
              <w:spacing w:line="360" w:lineRule="auto"/>
              <w:rPr>
                <w:sz w:val="24"/>
                <w:szCs w:val="24"/>
              </w:rPr>
            </w:pPr>
            <w:r w:rsidRPr="00BF60AD">
              <w:rPr>
                <w:sz w:val="24"/>
                <w:szCs w:val="24"/>
              </w:rPr>
              <w:t>0.583</w:t>
            </w:r>
          </w:p>
        </w:tc>
        <w:tc>
          <w:tcPr>
            <w:tcW w:w="1418" w:type="dxa"/>
            <w:tcBorders>
              <w:top w:val="nil"/>
              <w:bottom w:val="nil"/>
            </w:tcBorders>
          </w:tcPr>
          <w:p w14:paraId="0EC5B4F6" w14:textId="77777777" w:rsidR="00BF60AD" w:rsidRPr="00BF60AD" w:rsidRDefault="00BF60AD" w:rsidP="00BF60AD">
            <w:pPr>
              <w:spacing w:line="360" w:lineRule="auto"/>
              <w:rPr>
                <w:sz w:val="24"/>
                <w:szCs w:val="24"/>
              </w:rPr>
            </w:pPr>
            <w:r w:rsidRPr="00BF60AD">
              <w:rPr>
                <w:sz w:val="24"/>
                <w:szCs w:val="24"/>
              </w:rPr>
              <w:t>87.396</w:t>
            </w:r>
          </w:p>
        </w:tc>
        <w:tc>
          <w:tcPr>
            <w:tcW w:w="1302" w:type="dxa"/>
            <w:tcBorders>
              <w:top w:val="nil"/>
              <w:bottom w:val="nil"/>
            </w:tcBorders>
          </w:tcPr>
          <w:p w14:paraId="51BBF60B" w14:textId="77777777" w:rsidR="00BF60AD" w:rsidRPr="00BF60AD" w:rsidRDefault="00BF60AD" w:rsidP="00BF60AD">
            <w:pPr>
              <w:spacing w:line="360" w:lineRule="auto"/>
              <w:rPr>
                <w:sz w:val="24"/>
                <w:szCs w:val="24"/>
              </w:rPr>
            </w:pPr>
            <w:r w:rsidRPr="00BF60AD">
              <w:rPr>
                <w:sz w:val="24"/>
                <w:szCs w:val="24"/>
              </w:rPr>
              <w:t>2.649</w:t>
            </w:r>
          </w:p>
        </w:tc>
        <w:tc>
          <w:tcPr>
            <w:tcW w:w="1532" w:type="dxa"/>
            <w:tcBorders>
              <w:top w:val="nil"/>
              <w:bottom w:val="nil"/>
            </w:tcBorders>
          </w:tcPr>
          <w:p w14:paraId="32DAD213" w14:textId="77777777" w:rsidR="00BF60AD" w:rsidRPr="00BF60AD" w:rsidRDefault="00BF60AD" w:rsidP="00BF60AD">
            <w:pPr>
              <w:spacing w:line="360" w:lineRule="auto"/>
              <w:rPr>
                <w:sz w:val="24"/>
                <w:szCs w:val="24"/>
              </w:rPr>
            </w:pPr>
            <w:r w:rsidRPr="00BF60AD">
              <w:rPr>
                <w:sz w:val="24"/>
                <w:szCs w:val="24"/>
              </w:rPr>
              <w:t>2.235</w:t>
            </w:r>
          </w:p>
        </w:tc>
        <w:tc>
          <w:tcPr>
            <w:tcW w:w="1355" w:type="dxa"/>
            <w:tcBorders>
              <w:top w:val="nil"/>
              <w:bottom w:val="nil"/>
            </w:tcBorders>
          </w:tcPr>
          <w:p w14:paraId="0FB9E0B9" w14:textId="77777777" w:rsidR="00BF60AD" w:rsidRPr="00BF60AD" w:rsidRDefault="00BF60AD" w:rsidP="00BF60AD">
            <w:pPr>
              <w:spacing w:line="360" w:lineRule="auto"/>
              <w:rPr>
                <w:sz w:val="24"/>
                <w:szCs w:val="24"/>
              </w:rPr>
            </w:pPr>
            <w:r w:rsidRPr="00BF60AD">
              <w:rPr>
                <w:sz w:val="24"/>
                <w:szCs w:val="24"/>
              </w:rPr>
              <w:t>7.720</w:t>
            </w:r>
          </w:p>
        </w:tc>
      </w:tr>
      <w:tr w:rsidR="00BF60AD" w:rsidRPr="00BF60AD" w14:paraId="07994F88" w14:textId="77777777" w:rsidTr="00774C53">
        <w:trPr>
          <w:jc w:val="center"/>
        </w:trPr>
        <w:tc>
          <w:tcPr>
            <w:tcW w:w="1135" w:type="dxa"/>
            <w:tcBorders>
              <w:top w:val="nil"/>
              <w:bottom w:val="nil"/>
            </w:tcBorders>
          </w:tcPr>
          <w:p w14:paraId="2B5790F2" w14:textId="77777777" w:rsidR="00BF60AD" w:rsidRPr="00BF60AD" w:rsidRDefault="00BF60AD" w:rsidP="00BF60AD">
            <w:pPr>
              <w:spacing w:line="360" w:lineRule="auto"/>
              <w:rPr>
                <w:sz w:val="24"/>
                <w:szCs w:val="24"/>
              </w:rPr>
            </w:pPr>
            <w:r w:rsidRPr="00BF60AD">
              <w:rPr>
                <w:sz w:val="24"/>
                <w:szCs w:val="24"/>
              </w:rPr>
              <w:t>5</w:t>
            </w:r>
          </w:p>
        </w:tc>
        <w:tc>
          <w:tcPr>
            <w:tcW w:w="992" w:type="dxa"/>
            <w:tcBorders>
              <w:top w:val="nil"/>
              <w:bottom w:val="nil"/>
            </w:tcBorders>
          </w:tcPr>
          <w:p w14:paraId="59606F7A" w14:textId="77777777" w:rsidR="00BF60AD" w:rsidRPr="00BF60AD" w:rsidRDefault="00BF60AD" w:rsidP="00BF60AD">
            <w:pPr>
              <w:spacing w:line="360" w:lineRule="auto"/>
              <w:rPr>
                <w:sz w:val="24"/>
                <w:szCs w:val="24"/>
              </w:rPr>
            </w:pPr>
            <w:r w:rsidRPr="00BF60AD">
              <w:rPr>
                <w:sz w:val="24"/>
                <w:szCs w:val="24"/>
              </w:rPr>
              <w:t>0.601</w:t>
            </w:r>
          </w:p>
        </w:tc>
        <w:tc>
          <w:tcPr>
            <w:tcW w:w="1418" w:type="dxa"/>
            <w:tcBorders>
              <w:top w:val="nil"/>
              <w:bottom w:val="nil"/>
            </w:tcBorders>
          </w:tcPr>
          <w:p w14:paraId="63A173CF" w14:textId="77777777" w:rsidR="00BF60AD" w:rsidRPr="00BF60AD" w:rsidRDefault="00BF60AD" w:rsidP="00BF60AD">
            <w:pPr>
              <w:spacing w:line="360" w:lineRule="auto"/>
              <w:rPr>
                <w:sz w:val="24"/>
                <w:szCs w:val="24"/>
              </w:rPr>
            </w:pPr>
            <w:r w:rsidRPr="00BF60AD">
              <w:rPr>
                <w:sz w:val="24"/>
                <w:szCs w:val="24"/>
              </w:rPr>
              <w:t>87.345</w:t>
            </w:r>
          </w:p>
        </w:tc>
        <w:tc>
          <w:tcPr>
            <w:tcW w:w="1302" w:type="dxa"/>
            <w:tcBorders>
              <w:top w:val="nil"/>
              <w:bottom w:val="nil"/>
            </w:tcBorders>
          </w:tcPr>
          <w:p w14:paraId="43E4B9E5" w14:textId="77777777" w:rsidR="00BF60AD" w:rsidRPr="00BF60AD" w:rsidRDefault="00BF60AD" w:rsidP="00BF60AD">
            <w:pPr>
              <w:spacing w:line="360" w:lineRule="auto"/>
              <w:rPr>
                <w:sz w:val="24"/>
                <w:szCs w:val="24"/>
              </w:rPr>
            </w:pPr>
            <w:r w:rsidRPr="00BF60AD">
              <w:rPr>
                <w:sz w:val="24"/>
                <w:szCs w:val="24"/>
              </w:rPr>
              <w:t>2.685</w:t>
            </w:r>
          </w:p>
        </w:tc>
        <w:tc>
          <w:tcPr>
            <w:tcW w:w="1532" w:type="dxa"/>
            <w:tcBorders>
              <w:top w:val="nil"/>
              <w:bottom w:val="nil"/>
            </w:tcBorders>
          </w:tcPr>
          <w:p w14:paraId="38BC5D09" w14:textId="77777777" w:rsidR="00BF60AD" w:rsidRPr="00BF60AD" w:rsidRDefault="00BF60AD" w:rsidP="00BF60AD">
            <w:pPr>
              <w:spacing w:line="360" w:lineRule="auto"/>
              <w:rPr>
                <w:sz w:val="24"/>
                <w:szCs w:val="24"/>
              </w:rPr>
            </w:pPr>
            <w:r w:rsidRPr="00BF60AD">
              <w:rPr>
                <w:sz w:val="24"/>
                <w:szCs w:val="24"/>
              </w:rPr>
              <w:t>2.287</w:t>
            </w:r>
          </w:p>
        </w:tc>
        <w:tc>
          <w:tcPr>
            <w:tcW w:w="1355" w:type="dxa"/>
            <w:tcBorders>
              <w:top w:val="nil"/>
              <w:bottom w:val="nil"/>
            </w:tcBorders>
          </w:tcPr>
          <w:p w14:paraId="2D49E9C1" w14:textId="77777777" w:rsidR="00BF60AD" w:rsidRPr="00BF60AD" w:rsidRDefault="00BF60AD" w:rsidP="00BF60AD">
            <w:pPr>
              <w:spacing w:line="360" w:lineRule="auto"/>
              <w:rPr>
                <w:sz w:val="24"/>
                <w:szCs w:val="24"/>
              </w:rPr>
            </w:pPr>
            <w:r w:rsidRPr="00BF60AD">
              <w:rPr>
                <w:sz w:val="24"/>
                <w:szCs w:val="24"/>
              </w:rPr>
              <w:t>7.683</w:t>
            </w:r>
          </w:p>
        </w:tc>
      </w:tr>
      <w:tr w:rsidR="00BF60AD" w:rsidRPr="00BF60AD" w14:paraId="0F1E0592" w14:textId="77777777" w:rsidTr="00774C53">
        <w:trPr>
          <w:jc w:val="center"/>
        </w:trPr>
        <w:tc>
          <w:tcPr>
            <w:tcW w:w="1135" w:type="dxa"/>
            <w:tcBorders>
              <w:top w:val="nil"/>
              <w:bottom w:val="nil"/>
            </w:tcBorders>
          </w:tcPr>
          <w:p w14:paraId="1F8CD3A6" w14:textId="77777777" w:rsidR="00BF60AD" w:rsidRPr="00BF60AD" w:rsidRDefault="00BF60AD" w:rsidP="00BF60AD">
            <w:pPr>
              <w:spacing w:line="360" w:lineRule="auto"/>
              <w:rPr>
                <w:sz w:val="24"/>
                <w:szCs w:val="24"/>
              </w:rPr>
            </w:pPr>
            <w:r w:rsidRPr="00BF60AD">
              <w:rPr>
                <w:sz w:val="24"/>
                <w:szCs w:val="24"/>
              </w:rPr>
              <w:t>6</w:t>
            </w:r>
          </w:p>
        </w:tc>
        <w:tc>
          <w:tcPr>
            <w:tcW w:w="992" w:type="dxa"/>
            <w:tcBorders>
              <w:top w:val="nil"/>
              <w:bottom w:val="nil"/>
            </w:tcBorders>
          </w:tcPr>
          <w:p w14:paraId="78A04677" w14:textId="77777777" w:rsidR="00BF60AD" w:rsidRPr="00BF60AD" w:rsidRDefault="00BF60AD" w:rsidP="00BF60AD">
            <w:pPr>
              <w:spacing w:line="360" w:lineRule="auto"/>
              <w:rPr>
                <w:sz w:val="24"/>
                <w:szCs w:val="24"/>
              </w:rPr>
            </w:pPr>
            <w:r w:rsidRPr="00BF60AD">
              <w:rPr>
                <w:sz w:val="24"/>
                <w:szCs w:val="24"/>
              </w:rPr>
              <w:t>0.621</w:t>
            </w:r>
          </w:p>
        </w:tc>
        <w:tc>
          <w:tcPr>
            <w:tcW w:w="1418" w:type="dxa"/>
            <w:tcBorders>
              <w:top w:val="nil"/>
              <w:bottom w:val="nil"/>
            </w:tcBorders>
          </w:tcPr>
          <w:p w14:paraId="37BC4827" w14:textId="77777777" w:rsidR="00BF60AD" w:rsidRPr="00BF60AD" w:rsidRDefault="00BF60AD" w:rsidP="00BF60AD">
            <w:pPr>
              <w:spacing w:line="360" w:lineRule="auto"/>
              <w:rPr>
                <w:sz w:val="24"/>
                <w:szCs w:val="24"/>
              </w:rPr>
            </w:pPr>
            <w:r w:rsidRPr="00BF60AD">
              <w:rPr>
                <w:sz w:val="24"/>
                <w:szCs w:val="24"/>
              </w:rPr>
              <w:t>85.717</w:t>
            </w:r>
          </w:p>
        </w:tc>
        <w:tc>
          <w:tcPr>
            <w:tcW w:w="1302" w:type="dxa"/>
            <w:tcBorders>
              <w:top w:val="nil"/>
              <w:bottom w:val="nil"/>
            </w:tcBorders>
          </w:tcPr>
          <w:p w14:paraId="4D28E2D9" w14:textId="77777777" w:rsidR="00BF60AD" w:rsidRPr="00BF60AD" w:rsidRDefault="00BF60AD" w:rsidP="00BF60AD">
            <w:pPr>
              <w:spacing w:line="360" w:lineRule="auto"/>
              <w:rPr>
                <w:sz w:val="24"/>
                <w:szCs w:val="24"/>
              </w:rPr>
            </w:pPr>
            <w:r w:rsidRPr="00BF60AD">
              <w:rPr>
                <w:sz w:val="24"/>
                <w:szCs w:val="24"/>
              </w:rPr>
              <w:t>3.817</w:t>
            </w:r>
          </w:p>
        </w:tc>
        <w:tc>
          <w:tcPr>
            <w:tcW w:w="1532" w:type="dxa"/>
            <w:tcBorders>
              <w:top w:val="nil"/>
              <w:bottom w:val="nil"/>
            </w:tcBorders>
          </w:tcPr>
          <w:p w14:paraId="34938124" w14:textId="77777777" w:rsidR="00BF60AD" w:rsidRPr="00BF60AD" w:rsidRDefault="00BF60AD" w:rsidP="00BF60AD">
            <w:pPr>
              <w:spacing w:line="360" w:lineRule="auto"/>
              <w:rPr>
                <w:sz w:val="24"/>
                <w:szCs w:val="24"/>
              </w:rPr>
            </w:pPr>
            <w:r w:rsidRPr="00BF60AD">
              <w:rPr>
                <w:sz w:val="24"/>
                <w:szCs w:val="24"/>
              </w:rPr>
              <w:t>2.148</w:t>
            </w:r>
          </w:p>
        </w:tc>
        <w:tc>
          <w:tcPr>
            <w:tcW w:w="1355" w:type="dxa"/>
            <w:tcBorders>
              <w:top w:val="nil"/>
              <w:bottom w:val="nil"/>
            </w:tcBorders>
          </w:tcPr>
          <w:p w14:paraId="19CE018C" w14:textId="77777777" w:rsidR="00BF60AD" w:rsidRPr="00BF60AD" w:rsidRDefault="00BF60AD" w:rsidP="00BF60AD">
            <w:pPr>
              <w:spacing w:line="360" w:lineRule="auto"/>
              <w:rPr>
                <w:sz w:val="24"/>
                <w:szCs w:val="24"/>
              </w:rPr>
            </w:pPr>
            <w:r w:rsidRPr="00BF60AD">
              <w:rPr>
                <w:sz w:val="24"/>
                <w:szCs w:val="24"/>
              </w:rPr>
              <w:t>8.318</w:t>
            </w:r>
          </w:p>
        </w:tc>
      </w:tr>
      <w:tr w:rsidR="00BF60AD" w:rsidRPr="00BF60AD" w14:paraId="3A2FA262" w14:textId="77777777" w:rsidTr="00774C53">
        <w:trPr>
          <w:jc w:val="center"/>
        </w:trPr>
        <w:tc>
          <w:tcPr>
            <w:tcW w:w="1135" w:type="dxa"/>
            <w:tcBorders>
              <w:top w:val="nil"/>
              <w:bottom w:val="nil"/>
            </w:tcBorders>
          </w:tcPr>
          <w:p w14:paraId="0DC85DE0" w14:textId="77777777" w:rsidR="00BF60AD" w:rsidRPr="00BF60AD" w:rsidRDefault="00BF60AD" w:rsidP="00BF60AD">
            <w:pPr>
              <w:spacing w:line="360" w:lineRule="auto"/>
              <w:rPr>
                <w:sz w:val="24"/>
                <w:szCs w:val="24"/>
              </w:rPr>
            </w:pPr>
            <w:r w:rsidRPr="00BF60AD">
              <w:rPr>
                <w:sz w:val="24"/>
                <w:szCs w:val="24"/>
              </w:rPr>
              <w:t>7</w:t>
            </w:r>
          </w:p>
        </w:tc>
        <w:tc>
          <w:tcPr>
            <w:tcW w:w="992" w:type="dxa"/>
            <w:tcBorders>
              <w:top w:val="nil"/>
              <w:bottom w:val="nil"/>
            </w:tcBorders>
          </w:tcPr>
          <w:p w14:paraId="5AC617D1" w14:textId="77777777" w:rsidR="00BF60AD" w:rsidRPr="00BF60AD" w:rsidRDefault="00BF60AD" w:rsidP="00BF60AD">
            <w:pPr>
              <w:spacing w:line="360" w:lineRule="auto"/>
              <w:rPr>
                <w:sz w:val="24"/>
                <w:szCs w:val="24"/>
              </w:rPr>
            </w:pPr>
            <w:r w:rsidRPr="00BF60AD">
              <w:rPr>
                <w:sz w:val="24"/>
                <w:szCs w:val="24"/>
              </w:rPr>
              <w:t>0.636</w:t>
            </w:r>
          </w:p>
        </w:tc>
        <w:tc>
          <w:tcPr>
            <w:tcW w:w="1418" w:type="dxa"/>
            <w:tcBorders>
              <w:top w:val="nil"/>
              <w:bottom w:val="nil"/>
            </w:tcBorders>
          </w:tcPr>
          <w:p w14:paraId="7C8C84AA" w14:textId="77777777" w:rsidR="00BF60AD" w:rsidRPr="00BF60AD" w:rsidRDefault="00BF60AD" w:rsidP="00BF60AD">
            <w:pPr>
              <w:spacing w:line="360" w:lineRule="auto"/>
              <w:rPr>
                <w:sz w:val="24"/>
                <w:szCs w:val="24"/>
              </w:rPr>
            </w:pPr>
            <w:r w:rsidRPr="00BF60AD">
              <w:rPr>
                <w:sz w:val="24"/>
                <w:szCs w:val="24"/>
              </w:rPr>
              <w:t>84.451</w:t>
            </w:r>
          </w:p>
        </w:tc>
        <w:tc>
          <w:tcPr>
            <w:tcW w:w="1302" w:type="dxa"/>
            <w:tcBorders>
              <w:top w:val="nil"/>
              <w:bottom w:val="nil"/>
            </w:tcBorders>
          </w:tcPr>
          <w:p w14:paraId="35CA627F" w14:textId="77777777" w:rsidR="00BF60AD" w:rsidRPr="00BF60AD" w:rsidRDefault="00BF60AD" w:rsidP="00BF60AD">
            <w:pPr>
              <w:spacing w:line="360" w:lineRule="auto"/>
              <w:rPr>
                <w:sz w:val="24"/>
                <w:szCs w:val="24"/>
              </w:rPr>
            </w:pPr>
            <w:r w:rsidRPr="00BF60AD">
              <w:rPr>
                <w:sz w:val="24"/>
                <w:szCs w:val="24"/>
              </w:rPr>
              <w:t>4.308</w:t>
            </w:r>
          </w:p>
        </w:tc>
        <w:tc>
          <w:tcPr>
            <w:tcW w:w="1532" w:type="dxa"/>
            <w:tcBorders>
              <w:top w:val="nil"/>
              <w:bottom w:val="nil"/>
            </w:tcBorders>
          </w:tcPr>
          <w:p w14:paraId="30317BD4" w14:textId="77777777" w:rsidR="00BF60AD" w:rsidRPr="00BF60AD" w:rsidRDefault="00BF60AD" w:rsidP="00BF60AD">
            <w:pPr>
              <w:spacing w:line="360" w:lineRule="auto"/>
              <w:rPr>
                <w:sz w:val="24"/>
                <w:szCs w:val="24"/>
              </w:rPr>
            </w:pPr>
            <w:r w:rsidRPr="00BF60AD">
              <w:rPr>
                <w:sz w:val="24"/>
                <w:szCs w:val="24"/>
              </w:rPr>
              <w:t>2.672</w:t>
            </w:r>
          </w:p>
        </w:tc>
        <w:tc>
          <w:tcPr>
            <w:tcW w:w="1355" w:type="dxa"/>
            <w:tcBorders>
              <w:top w:val="nil"/>
              <w:bottom w:val="nil"/>
            </w:tcBorders>
          </w:tcPr>
          <w:p w14:paraId="756837BF" w14:textId="77777777" w:rsidR="00BF60AD" w:rsidRPr="00BF60AD" w:rsidRDefault="00BF60AD" w:rsidP="00BF60AD">
            <w:pPr>
              <w:spacing w:line="360" w:lineRule="auto"/>
              <w:rPr>
                <w:sz w:val="24"/>
                <w:szCs w:val="24"/>
              </w:rPr>
            </w:pPr>
            <w:r w:rsidRPr="00BF60AD">
              <w:rPr>
                <w:sz w:val="24"/>
                <w:szCs w:val="24"/>
              </w:rPr>
              <w:t>8.570</w:t>
            </w:r>
          </w:p>
        </w:tc>
      </w:tr>
      <w:tr w:rsidR="00BF60AD" w:rsidRPr="00BF60AD" w14:paraId="447F74F3" w14:textId="77777777" w:rsidTr="00774C53">
        <w:trPr>
          <w:jc w:val="center"/>
        </w:trPr>
        <w:tc>
          <w:tcPr>
            <w:tcW w:w="1135" w:type="dxa"/>
            <w:tcBorders>
              <w:top w:val="nil"/>
              <w:bottom w:val="nil"/>
            </w:tcBorders>
          </w:tcPr>
          <w:p w14:paraId="50755727" w14:textId="77777777" w:rsidR="00BF60AD" w:rsidRPr="00BF60AD" w:rsidRDefault="00BF60AD" w:rsidP="00BF60AD">
            <w:pPr>
              <w:spacing w:line="360" w:lineRule="auto"/>
              <w:rPr>
                <w:sz w:val="24"/>
                <w:szCs w:val="24"/>
              </w:rPr>
            </w:pPr>
            <w:r w:rsidRPr="00BF60AD">
              <w:rPr>
                <w:sz w:val="24"/>
                <w:szCs w:val="24"/>
              </w:rPr>
              <w:t>8</w:t>
            </w:r>
          </w:p>
        </w:tc>
        <w:tc>
          <w:tcPr>
            <w:tcW w:w="992" w:type="dxa"/>
            <w:tcBorders>
              <w:top w:val="nil"/>
              <w:bottom w:val="nil"/>
            </w:tcBorders>
          </w:tcPr>
          <w:p w14:paraId="409D4CEF" w14:textId="77777777" w:rsidR="00BF60AD" w:rsidRPr="00BF60AD" w:rsidRDefault="00BF60AD" w:rsidP="00BF60AD">
            <w:pPr>
              <w:spacing w:line="360" w:lineRule="auto"/>
              <w:rPr>
                <w:sz w:val="24"/>
                <w:szCs w:val="24"/>
              </w:rPr>
            </w:pPr>
            <w:r w:rsidRPr="00BF60AD">
              <w:rPr>
                <w:sz w:val="24"/>
                <w:szCs w:val="24"/>
              </w:rPr>
              <w:t>0.649</w:t>
            </w:r>
          </w:p>
        </w:tc>
        <w:tc>
          <w:tcPr>
            <w:tcW w:w="1418" w:type="dxa"/>
            <w:tcBorders>
              <w:top w:val="nil"/>
              <w:bottom w:val="nil"/>
            </w:tcBorders>
          </w:tcPr>
          <w:p w14:paraId="6D9D3786" w14:textId="77777777" w:rsidR="00BF60AD" w:rsidRPr="00BF60AD" w:rsidRDefault="00BF60AD" w:rsidP="00BF60AD">
            <w:pPr>
              <w:spacing w:line="360" w:lineRule="auto"/>
              <w:rPr>
                <w:sz w:val="24"/>
                <w:szCs w:val="24"/>
              </w:rPr>
            </w:pPr>
            <w:r w:rsidRPr="00BF60AD">
              <w:rPr>
                <w:sz w:val="24"/>
                <w:szCs w:val="24"/>
              </w:rPr>
              <w:t>83.137</w:t>
            </w:r>
          </w:p>
        </w:tc>
        <w:tc>
          <w:tcPr>
            <w:tcW w:w="1302" w:type="dxa"/>
            <w:tcBorders>
              <w:top w:val="nil"/>
              <w:bottom w:val="nil"/>
            </w:tcBorders>
          </w:tcPr>
          <w:p w14:paraId="4368138E" w14:textId="77777777" w:rsidR="00BF60AD" w:rsidRPr="00BF60AD" w:rsidRDefault="00BF60AD" w:rsidP="00BF60AD">
            <w:pPr>
              <w:spacing w:line="360" w:lineRule="auto"/>
              <w:rPr>
                <w:sz w:val="24"/>
                <w:szCs w:val="24"/>
              </w:rPr>
            </w:pPr>
            <w:r w:rsidRPr="00BF60AD">
              <w:rPr>
                <w:sz w:val="24"/>
                <w:szCs w:val="24"/>
              </w:rPr>
              <w:t>4.956</w:t>
            </w:r>
          </w:p>
        </w:tc>
        <w:tc>
          <w:tcPr>
            <w:tcW w:w="1532" w:type="dxa"/>
            <w:tcBorders>
              <w:top w:val="nil"/>
              <w:bottom w:val="nil"/>
            </w:tcBorders>
          </w:tcPr>
          <w:p w14:paraId="0AC2FC71" w14:textId="77777777" w:rsidR="00BF60AD" w:rsidRPr="00BF60AD" w:rsidRDefault="00BF60AD" w:rsidP="00BF60AD">
            <w:pPr>
              <w:spacing w:line="360" w:lineRule="auto"/>
              <w:rPr>
                <w:sz w:val="24"/>
                <w:szCs w:val="24"/>
              </w:rPr>
            </w:pPr>
            <w:r w:rsidRPr="00BF60AD">
              <w:rPr>
                <w:sz w:val="24"/>
                <w:szCs w:val="24"/>
              </w:rPr>
              <w:t>3.112</w:t>
            </w:r>
          </w:p>
        </w:tc>
        <w:tc>
          <w:tcPr>
            <w:tcW w:w="1355" w:type="dxa"/>
            <w:tcBorders>
              <w:top w:val="nil"/>
              <w:bottom w:val="nil"/>
            </w:tcBorders>
          </w:tcPr>
          <w:p w14:paraId="755B23F5" w14:textId="77777777" w:rsidR="00BF60AD" w:rsidRPr="00BF60AD" w:rsidRDefault="00BF60AD" w:rsidP="00BF60AD">
            <w:pPr>
              <w:spacing w:line="360" w:lineRule="auto"/>
              <w:rPr>
                <w:sz w:val="24"/>
                <w:szCs w:val="24"/>
              </w:rPr>
            </w:pPr>
            <w:r w:rsidRPr="00BF60AD">
              <w:rPr>
                <w:sz w:val="24"/>
                <w:szCs w:val="24"/>
              </w:rPr>
              <w:t>8.795</w:t>
            </w:r>
          </w:p>
        </w:tc>
      </w:tr>
      <w:tr w:rsidR="00BF60AD" w:rsidRPr="00BF60AD" w14:paraId="417E34FE" w14:textId="77777777" w:rsidTr="00774C53">
        <w:trPr>
          <w:jc w:val="center"/>
        </w:trPr>
        <w:tc>
          <w:tcPr>
            <w:tcW w:w="1135" w:type="dxa"/>
            <w:tcBorders>
              <w:top w:val="nil"/>
              <w:bottom w:val="nil"/>
            </w:tcBorders>
          </w:tcPr>
          <w:p w14:paraId="68B66D5C" w14:textId="77777777" w:rsidR="00BF60AD" w:rsidRPr="00BF60AD" w:rsidRDefault="00BF60AD" w:rsidP="00BF60AD">
            <w:pPr>
              <w:spacing w:line="360" w:lineRule="auto"/>
              <w:rPr>
                <w:sz w:val="24"/>
                <w:szCs w:val="24"/>
              </w:rPr>
            </w:pPr>
            <w:r w:rsidRPr="00BF60AD">
              <w:rPr>
                <w:sz w:val="24"/>
                <w:szCs w:val="24"/>
              </w:rPr>
              <w:lastRenderedPageBreak/>
              <w:t>9</w:t>
            </w:r>
          </w:p>
        </w:tc>
        <w:tc>
          <w:tcPr>
            <w:tcW w:w="992" w:type="dxa"/>
            <w:tcBorders>
              <w:top w:val="nil"/>
              <w:bottom w:val="nil"/>
            </w:tcBorders>
          </w:tcPr>
          <w:p w14:paraId="398E4F85" w14:textId="77777777" w:rsidR="00BF60AD" w:rsidRPr="00BF60AD" w:rsidRDefault="00BF60AD" w:rsidP="00BF60AD">
            <w:pPr>
              <w:spacing w:line="360" w:lineRule="auto"/>
              <w:rPr>
                <w:sz w:val="24"/>
                <w:szCs w:val="24"/>
              </w:rPr>
            </w:pPr>
            <w:r w:rsidRPr="00BF60AD">
              <w:rPr>
                <w:sz w:val="24"/>
                <w:szCs w:val="24"/>
              </w:rPr>
              <w:t>0.658</w:t>
            </w:r>
          </w:p>
        </w:tc>
        <w:tc>
          <w:tcPr>
            <w:tcW w:w="1418" w:type="dxa"/>
            <w:tcBorders>
              <w:top w:val="nil"/>
              <w:bottom w:val="nil"/>
            </w:tcBorders>
          </w:tcPr>
          <w:p w14:paraId="238D66C7" w14:textId="77777777" w:rsidR="00BF60AD" w:rsidRPr="00BF60AD" w:rsidRDefault="00BF60AD" w:rsidP="00BF60AD">
            <w:pPr>
              <w:spacing w:line="360" w:lineRule="auto"/>
              <w:rPr>
                <w:sz w:val="24"/>
                <w:szCs w:val="24"/>
              </w:rPr>
            </w:pPr>
            <w:r w:rsidRPr="00BF60AD">
              <w:rPr>
                <w:sz w:val="24"/>
                <w:szCs w:val="24"/>
              </w:rPr>
              <w:t>82.220</w:t>
            </w:r>
          </w:p>
        </w:tc>
        <w:tc>
          <w:tcPr>
            <w:tcW w:w="1302" w:type="dxa"/>
            <w:tcBorders>
              <w:top w:val="nil"/>
              <w:bottom w:val="nil"/>
            </w:tcBorders>
          </w:tcPr>
          <w:p w14:paraId="02ACA262" w14:textId="77777777" w:rsidR="00BF60AD" w:rsidRPr="00BF60AD" w:rsidRDefault="00BF60AD" w:rsidP="00BF60AD">
            <w:pPr>
              <w:spacing w:line="360" w:lineRule="auto"/>
              <w:rPr>
                <w:sz w:val="24"/>
                <w:szCs w:val="24"/>
              </w:rPr>
            </w:pPr>
            <w:r w:rsidRPr="00BF60AD">
              <w:rPr>
                <w:sz w:val="24"/>
                <w:szCs w:val="24"/>
              </w:rPr>
              <w:t>6.000</w:t>
            </w:r>
          </w:p>
        </w:tc>
        <w:tc>
          <w:tcPr>
            <w:tcW w:w="1532" w:type="dxa"/>
            <w:tcBorders>
              <w:top w:val="nil"/>
              <w:bottom w:val="nil"/>
            </w:tcBorders>
          </w:tcPr>
          <w:p w14:paraId="33DE4505" w14:textId="77777777" w:rsidR="00BF60AD" w:rsidRPr="00BF60AD" w:rsidRDefault="00BF60AD" w:rsidP="00BF60AD">
            <w:pPr>
              <w:spacing w:line="360" w:lineRule="auto"/>
              <w:rPr>
                <w:sz w:val="24"/>
                <w:szCs w:val="24"/>
              </w:rPr>
            </w:pPr>
            <w:r w:rsidRPr="00BF60AD">
              <w:rPr>
                <w:sz w:val="24"/>
                <w:szCs w:val="24"/>
              </w:rPr>
              <w:t>3.225</w:t>
            </w:r>
          </w:p>
        </w:tc>
        <w:tc>
          <w:tcPr>
            <w:tcW w:w="1355" w:type="dxa"/>
            <w:tcBorders>
              <w:top w:val="nil"/>
              <w:bottom w:val="nil"/>
            </w:tcBorders>
          </w:tcPr>
          <w:p w14:paraId="710AAC3B" w14:textId="77777777" w:rsidR="00BF60AD" w:rsidRPr="00BF60AD" w:rsidRDefault="00BF60AD" w:rsidP="00BF60AD">
            <w:pPr>
              <w:spacing w:line="360" w:lineRule="auto"/>
              <w:rPr>
                <w:sz w:val="24"/>
                <w:szCs w:val="24"/>
              </w:rPr>
            </w:pPr>
            <w:r w:rsidRPr="00BF60AD">
              <w:rPr>
                <w:sz w:val="24"/>
                <w:szCs w:val="24"/>
              </w:rPr>
              <w:t>8.556</w:t>
            </w:r>
          </w:p>
        </w:tc>
      </w:tr>
      <w:tr w:rsidR="00BF60AD" w:rsidRPr="00BF60AD" w14:paraId="38DD616E" w14:textId="77777777" w:rsidTr="00774C53">
        <w:trPr>
          <w:jc w:val="center"/>
        </w:trPr>
        <w:tc>
          <w:tcPr>
            <w:tcW w:w="1135" w:type="dxa"/>
            <w:tcBorders>
              <w:top w:val="nil"/>
              <w:bottom w:val="nil"/>
            </w:tcBorders>
          </w:tcPr>
          <w:p w14:paraId="21C3BAC8" w14:textId="77777777" w:rsidR="00BF60AD" w:rsidRPr="00BF60AD" w:rsidRDefault="00BF60AD" w:rsidP="00BF60AD">
            <w:pPr>
              <w:spacing w:line="360" w:lineRule="auto"/>
              <w:rPr>
                <w:sz w:val="24"/>
                <w:szCs w:val="24"/>
              </w:rPr>
            </w:pPr>
            <w:r w:rsidRPr="00BF60AD">
              <w:rPr>
                <w:sz w:val="24"/>
                <w:szCs w:val="24"/>
              </w:rPr>
              <w:t>10</w:t>
            </w:r>
          </w:p>
        </w:tc>
        <w:tc>
          <w:tcPr>
            <w:tcW w:w="992" w:type="dxa"/>
            <w:tcBorders>
              <w:top w:val="nil"/>
              <w:bottom w:val="nil"/>
            </w:tcBorders>
          </w:tcPr>
          <w:p w14:paraId="6CE16192" w14:textId="77777777" w:rsidR="00BF60AD" w:rsidRPr="00BF60AD" w:rsidRDefault="00BF60AD" w:rsidP="00BF60AD">
            <w:pPr>
              <w:spacing w:line="360" w:lineRule="auto"/>
              <w:rPr>
                <w:sz w:val="24"/>
                <w:szCs w:val="24"/>
              </w:rPr>
            </w:pPr>
            <w:r w:rsidRPr="00BF60AD">
              <w:rPr>
                <w:sz w:val="24"/>
                <w:szCs w:val="24"/>
              </w:rPr>
              <w:t>0.667</w:t>
            </w:r>
          </w:p>
        </w:tc>
        <w:tc>
          <w:tcPr>
            <w:tcW w:w="1418" w:type="dxa"/>
            <w:tcBorders>
              <w:top w:val="nil"/>
              <w:bottom w:val="nil"/>
            </w:tcBorders>
          </w:tcPr>
          <w:p w14:paraId="1D6912DB" w14:textId="77777777" w:rsidR="00BF60AD" w:rsidRPr="00BF60AD" w:rsidRDefault="00BF60AD" w:rsidP="00BF60AD">
            <w:pPr>
              <w:spacing w:line="360" w:lineRule="auto"/>
              <w:rPr>
                <w:sz w:val="24"/>
                <w:szCs w:val="24"/>
              </w:rPr>
            </w:pPr>
            <w:r w:rsidRPr="00BF60AD">
              <w:rPr>
                <w:sz w:val="24"/>
                <w:szCs w:val="24"/>
              </w:rPr>
              <w:t>81.473</w:t>
            </w:r>
          </w:p>
        </w:tc>
        <w:tc>
          <w:tcPr>
            <w:tcW w:w="1302" w:type="dxa"/>
            <w:tcBorders>
              <w:top w:val="nil"/>
              <w:bottom w:val="nil"/>
            </w:tcBorders>
          </w:tcPr>
          <w:p w14:paraId="630515ED" w14:textId="77777777" w:rsidR="00BF60AD" w:rsidRPr="00BF60AD" w:rsidRDefault="00BF60AD" w:rsidP="00BF60AD">
            <w:pPr>
              <w:spacing w:line="360" w:lineRule="auto"/>
              <w:rPr>
                <w:sz w:val="24"/>
                <w:szCs w:val="24"/>
              </w:rPr>
            </w:pPr>
            <w:r w:rsidRPr="00BF60AD">
              <w:rPr>
                <w:sz w:val="24"/>
                <w:szCs w:val="24"/>
              </w:rPr>
              <w:t>6.827</w:t>
            </w:r>
          </w:p>
        </w:tc>
        <w:tc>
          <w:tcPr>
            <w:tcW w:w="1532" w:type="dxa"/>
            <w:tcBorders>
              <w:top w:val="nil"/>
              <w:bottom w:val="nil"/>
            </w:tcBorders>
          </w:tcPr>
          <w:p w14:paraId="5527120B" w14:textId="77777777" w:rsidR="00BF60AD" w:rsidRPr="00BF60AD" w:rsidRDefault="00BF60AD" w:rsidP="00BF60AD">
            <w:pPr>
              <w:spacing w:line="360" w:lineRule="auto"/>
              <w:rPr>
                <w:sz w:val="24"/>
                <w:szCs w:val="24"/>
              </w:rPr>
            </w:pPr>
            <w:r w:rsidRPr="00BF60AD">
              <w:rPr>
                <w:sz w:val="24"/>
                <w:szCs w:val="24"/>
              </w:rPr>
              <w:t>3.321</w:t>
            </w:r>
          </w:p>
        </w:tc>
        <w:tc>
          <w:tcPr>
            <w:tcW w:w="1355" w:type="dxa"/>
            <w:tcBorders>
              <w:top w:val="nil"/>
              <w:bottom w:val="nil"/>
            </w:tcBorders>
          </w:tcPr>
          <w:p w14:paraId="56EC0DE1" w14:textId="77777777" w:rsidR="00BF60AD" w:rsidRPr="00BF60AD" w:rsidRDefault="00BF60AD" w:rsidP="00BF60AD">
            <w:pPr>
              <w:spacing w:line="360" w:lineRule="auto"/>
              <w:rPr>
                <w:sz w:val="24"/>
                <w:szCs w:val="24"/>
              </w:rPr>
            </w:pPr>
            <w:r w:rsidRPr="00BF60AD">
              <w:rPr>
                <w:sz w:val="24"/>
                <w:szCs w:val="24"/>
              </w:rPr>
              <w:t>8.379</w:t>
            </w:r>
          </w:p>
        </w:tc>
      </w:tr>
      <w:tr w:rsidR="00BF60AD" w:rsidRPr="00BF60AD" w14:paraId="39CADCF7" w14:textId="77777777" w:rsidTr="00774C53">
        <w:trPr>
          <w:jc w:val="center"/>
        </w:trPr>
        <w:tc>
          <w:tcPr>
            <w:tcW w:w="1135" w:type="dxa"/>
            <w:tcBorders>
              <w:top w:val="nil"/>
              <w:bottom w:val="nil"/>
            </w:tcBorders>
          </w:tcPr>
          <w:p w14:paraId="1FEF99FF" w14:textId="77777777" w:rsidR="00BF60AD" w:rsidRPr="00BF60AD" w:rsidRDefault="00BF60AD" w:rsidP="00BF60AD">
            <w:pPr>
              <w:spacing w:line="360" w:lineRule="auto"/>
              <w:rPr>
                <w:sz w:val="24"/>
                <w:szCs w:val="24"/>
              </w:rPr>
            </w:pPr>
            <w:r w:rsidRPr="00BF60AD">
              <w:rPr>
                <w:sz w:val="24"/>
                <w:szCs w:val="24"/>
              </w:rPr>
              <w:t>11</w:t>
            </w:r>
          </w:p>
        </w:tc>
        <w:tc>
          <w:tcPr>
            <w:tcW w:w="992" w:type="dxa"/>
            <w:tcBorders>
              <w:top w:val="nil"/>
              <w:bottom w:val="nil"/>
            </w:tcBorders>
          </w:tcPr>
          <w:p w14:paraId="45F387BB" w14:textId="77777777" w:rsidR="00BF60AD" w:rsidRPr="00BF60AD" w:rsidRDefault="00BF60AD" w:rsidP="00BF60AD">
            <w:pPr>
              <w:spacing w:line="360" w:lineRule="auto"/>
              <w:rPr>
                <w:sz w:val="24"/>
                <w:szCs w:val="24"/>
              </w:rPr>
            </w:pPr>
            <w:r w:rsidRPr="00BF60AD">
              <w:rPr>
                <w:sz w:val="24"/>
                <w:szCs w:val="24"/>
              </w:rPr>
              <w:t>0.675</w:t>
            </w:r>
          </w:p>
        </w:tc>
        <w:tc>
          <w:tcPr>
            <w:tcW w:w="1418" w:type="dxa"/>
            <w:tcBorders>
              <w:top w:val="nil"/>
              <w:bottom w:val="nil"/>
            </w:tcBorders>
          </w:tcPr>
          <w:p w14:paraId="2AAADE56" w14:textId="77777777" w:rsidR="00BF60AD" w:rsidRPr="00BF60AD" w:rsidRDefault="00BF60AD" w:rsidP="00BF60AD">
            <w:pPr>
              <w:spacing w:line="360" w:lineRule="auto"/>
              <w:rPr>
                <w:sz w:val="24"/>
                <w:szCs w:val="24"/>
              </w:rPr>
            </w:pPr>
            <w:r w:rsidRPr="00BF60AD">
              <w:rPr>
                <w:sz w:val="24"/>
                <w:szCs w:val="24"/>
              </w:rPr>
              <w:t>80.757</w:t>
            </w:r>
          </w:p>
        </w:tc>
        <w:tc>
          <w:tcPr>
            <w:tcW w:w="1302" w:type="dxa"/>
            <w:tcBorders>
              <w:top w:val="nil"/>
              <w:bottom w:val="nil"/>
            </w:tcBorders>
          </w:tcPr>
          <w:p w14:paraId="78205511" w14:textId="77777777" w:rsidR="00BF60AD" w:rsidRPr="00BF60AD" w:rsidRDefault="00BF60AD" w:rsidP="00BF60AD">
            <w:pPr>
              <w:spacing w:line="360" w:lineRule="auto"/>
              <w:rPr>
                <w:sz w:val="24"/>
                <w:szCs w:val="24"/>
              </w:rPr>
            </w:pPr>
            <w:r w:rsidRPr="00BF60AD">
              <w:rPr>
                <w:sz w:val="24"/>
                <w:szCs w:val="24"/>
              </w:rPr>
              <w:t>7.531</w:t>
            </w:r>
          </w:p>
        </w:tc>
        <w:tc>
          <w:tcPr>
            <w:tcW w:w="1532" w:type="dxa"/>
            <w:tcBorders>
              <w:top w:val="nil"/>
              <w:bottom w:val="nil"/>
            </w:tcBorders>
          </w:tcPr>
          <w:p w14:paraId="0B6C667D" w14:textId="77777777" w:rsidR="00BF60AD" w:rsidRPr="00BF60AD" w:rsidRDefault="00BF60AD" w:rsidP="00BF60AD">
            <w:pPr>
              <w:spacing w:line="360" w:lineRule="auto"/>
              <w:rPr>
                <w:sz w:val="24"/>
                <w:szCs w:val="24"/>
              </w:rPr>
            </w:pPr>
            <w:r w:rsidRPr="00BF60AD">
              <w:rPr>
                <w:sz w:val="24"/>
                <w:szCs w:val="24"/>
              </w:rPr>
              <w:t>3.482</w:t>
            </w:r>
          </w:p>
        </w:tc>
        <w:tc>
          <w:tcPr>
            <w:tcW w:w="1355" w:type="dxa"/>
            <w:tcBorders>
              <w:top w:val="nil"/>
              <w:bottom w:val="nil"/>
            </w:tcBorders>
          </w:tcPr>
          <w:p w14:paraId="58A47FE2" w14:textId="77777777" w:rsidR="00BF60AD" w:rsidRPr="00BF60AD" w:rsidRDefault="00BF60AD" w:rsidP="00BF60AD">
            <w:pPr>
              <w:spacing w:line="360" w:lineRule="auto"/>
              <w:rPr>
                <w:sz w:val="24"/>
                <w:szCs w:val="24"/>
              </w:rPr>
            </w:pPr>
            <w:r w:rsidRPr="00BF60AD">
              <w:rPr>
                <w:sz w:val="24"/>
                <w:szCs w:val="24"/>
              </w:rPr>
              <w:t>8.231</w:t>
            </w:r>
          </w:p>
        </w:tc>
      </w:tr>
      <w:tr w:rsidR="00BF60AD" w:rsidRPr="00BF60AD" w14:paraId="2D4BBF1A" w14:textId="77777777" w:rsidTr="00774C53">
        <w:trPr>
          <w:jc w:val="center"/>
        </w:trPr>
        <w:tc>
          <w:tcPr>
            <w:tcW w:w="1135" w:type="dxa"/>
            <w:tcBorders>
              <w:top w:val="nil"/>
              <w:bottom w:val="single" w:sz="12" w:space="0" w:color="auto"/>
            </w:tcBorders>
          </w:tcPr>
          <w:p w14:paraId="368BBDBB" w14:textId="77777777" w:rsidR="00BF60AD" w:rsidRPr="00BF60AD" w:rsidRDefault="00BF60AD" w:rsidP="00BF60AD">
            <w:pPr>
              <w:spacing w:line="360" w:lineRule="auto"/>
              <w:rPr>
                <w:sz w:val="24"/>
                <w:szCs w:val="24"/>
              </w:rPr>
            </w:pPr>
            <w:r w:rsidRPr="00BF60AD">
              <w:rPr>
                <w:sz w:val="24"/>
                <w:szCs w:val="24"/>
              </w:rPr>
              <w:t>12</w:t>
            </w:r>
          </w:p>
        </w:tc>
        <w:tc>
          <w:tcPr>
            <w:tcW w:w="992" w:type="dxa"/>
            <w:tcBorders>
              <w:top w:val="nil"/>
              <w:bottom w:val="single" w:sz="12" w:space="0" w:color="auto"/>
            </w:tcBorders>
          </w:tcPr>
          <w:p w14:paraId="29FA8C25" w14:textId="77777777" w:rsidR="00BF60AD" w:rsidRPr="00BF60AD" w:rsidRDefault="00BF60AD" w:rsidP="00BF60AD">
            <w:pPr>
              <w:spacing w:line="360" w:lineRule="auto"/>
              <w:rPr>
                <w:sz w:val="24"/>
                <w:szCs w:val="24"/>
              </w:rPr>
            </w:pPr>
            <w:r w:rsidRPr="00BF60AD">
              <w:rPr>
                <w:sz w:val="24"/>
                <w:szCs w:val="24"/>
              </w:rPr>
              <w:t>0.683</w:t>
            </w:r>
          </w:p>
        </w:tc>
        <w:tc>
          <w:tcPr>
            <w:tcW w:w="1418" w:type="dxa"/>
            <w:tcBorders>
              <w:top w:val="nil"/>
              <w:bottom w:val="single" w:sz="12" w:space="0" w:color="auto"/>
            </w:tcBorders>
          </w:tcPr>
          <w:p w14:paraId="0BDF3FC9" w14:textId="77777777" w:rsidR="00BF60AD" w:rsidRPr="00BF60AD" w:rsidRDefault="00BF60AD" w:rsidP="00BF60AD">
            <w:pPr>
              <w:spacing w:line="360" w:lineRule="auto"/>
              <w:rPr>
                <w:sz w:val="24"/>
                <w:szCs w:val="24"/>
              </w:rPr>
            </w:pPr>
            <w:r w:rsidRPr="00BF60AD">
              <w:rPr>
                <w:sz w:val="24"/>
                <w:szCs w:val="24"/>
              </w:rPr>
              <w:t>80.121</w:t>
            </w:r>
          </w:p>
        </w:tc>
        <w:tc>
          <w:tcPr>
            <w:tcW w:w="1302" w:type="dxa"/>
            <w:tcBorders>
              <w:top w:val="nil"/>
              <w:bottom w:val="single" w:sz="12" w:space="0" w:color="auto"/>
            </w:tcBorders>
          </w:tcPr>
          <w:p w14:paraId="0E9EBB6B" w14:textId="77777777" w:rsidR="00BF60AD" w:rsidRPr="00BF60AD" w:rsidRDefault="00BF60AD" w:rsidP="00BF60AD">
            <w:pPr>
              <w:spacing w:line="360" w:lineRule="auto"/>
              <w:rPr>
                <w:sz w:val="24"/>
                <w:szCs w:val="24"/>
              </w:rPr>
            </w:pPr>
            <w:r w:rsidRPr="00BF60AD">
              <w:rPr>
                <w:sz w:val="24"/>
                <w:szCs w:val="24"/>
              </w:rPr>
              <w:t>8.255</w:t>
            </w:r>
          </w:p>
        </w:tc>
        <w:tc>
          <w:tcPr>
            <w:tcW w:w="1532" w:type="dxa"/>
            <w:tcBorders>
              <w:top w:val="nil"/>
              <w:bottom w:val="single" w:sz="12" w:space="0" w:color="auto"/>
            </w:tcBorders>
          </w:tcPr>
          <w:p w14:paraId="7A88B097" w14:textId="77777777" w:rsidR="00BF60AD" w:rsidRPr="00BF60AD" w:rsidRDefault="00BF60AD" w:rsidP="00BF60AD">
            <w:pPr>
              <w:spacing w:line="360" w:lineRule="auto"/>
              <w:rPr>
                <w:sz w:val="24"/>
                <w:szCs w:val="24"/>
              </w:rPr>
            </w:pPr>
            <w:r w:rsidRPr="00BF60AD">
              <w:rPr>
                <w:sz w:val="24"/>
                <w:szCs w:val="24"/>
              </w:rPr>
              <w:t xml:space="preserve">3.556    </w:t>
            </w:r>
          </w:p>
        </w:tc>
        <w:tc>
          <w:tcPr>
            <w:tcW w:w="1355" w:type="dxa"/>
            <w:tcBorders>
              <w:top w:val="nil"/>
              <w:bottom w:val="single" w:sz="12" w:space="0" w:color="auto"/>
            </w:tcBorders>
          </w:tcPr>
          <w:p w14:paraId="68EB7DF3" w14:textId="77777777" w:rsidR="00BF60AD" w:rsidRPr="00BF60AD" w:rsidRDefault="00BF60AD" w:rsidP="00BF60AD">
            <w:pPr>
              <w:spacing w:line="360" w:lineRule="auto"/>
              <w:rPr>
                <w:sz w:val="24"/>
                <w:szCs w:val="24"/>
              </w:rPr>
            </w:pPr>
            <w:r w:rsidRPr="00BF60AD">
              <w:rPr>
                <w:sz w:val="24"/>
                <w:szCs w:val="24"/>
              </w:rPr>
              <w:t>8.068</w:t>
            </w:r>
          </w:p>
        </w:tc>
      </w:tr>
    </w:tbl>
    <w:p w14:paraId="4DEF0A88" w14:textId="77777777" w:rsidR="00BF60AD" w:rsidRPr="00BF60AD" w:rsidRDefault="00BF60AD" w:rsidP="00BF60AD">
      <w:pPr>
        <w:spacing w:line="360" w:lineRule="auto"/>
        <w:rPr>
          <w:rFonts w:eastAsiaTheme="minorEastAsia" w:cs="Times New Roman"/>
          <w:sz w:val="24"/>
        </w:rPr>
      </w:pPr>
    </w:p>
    <w:p w14:paraId="6673E530" w14:textId="77777777" w:rsidR="00BF60AD" w:rsidRPr="00BF60AD" w:rsidRDefault="00BF60AD" w:rsidP="00BF60AD">
      <w:pPr>
        <w:spacing w:line="360" w:lineRule="auto"/>
        <w:rPr>
          <w:rFonts w:eastAsiaTheme="minorEastAsia" w:cs="Times New Roman"/>
          <w:sz w:val="24"/>
        </w:rPr>
      </w:pPr>
    </w:p>
    <w:p w14:paraId="072C3DDB" w14:textId="77777777" w:rsidR="00BF60AD" w:rsidRPr="00BF60AD" w:rsidRDefault="00BF60AD" w:rsidP="00BF60AD">
      <w:pPr>
        <w:pStyle w:val="a9"/>
        <w:numPr>
          <w:ilvl w:val="0"/>
          <w:numId w:val="1"/>
        </w:numPr>
        <w:spacing w:line="360" w:lineRule="auto"/>
        <w:rPr>
          <w:rFonts w:eastAsia="Times New Roman" w:cs="Times New Roman"/>
          <w:b/>
          <w:sz w:val="24"/>
        </w:rPr>
      </w:pPr>
      <w:r w:rsidRPr="00BF60AD">
        <w:rPr>
          <w:rFonts w:eastAsia="Times New Roman" w:cs="Times New Roman"/>
          <w:b/>
          <w:sz w:val="24"/>
        </w:rPr>
        <w:t>Conclusion and Suggestion</w:t>
      </w:r>
    </w:p>
    <w:p w14:paraId="474D9EC0" w14:textId="77777777" w:rsidR="00BF60AD" w:rsidRPr="00BF60AD" w:rsidRDefault="00BF60AD" w:rsidP="00BF60AD">
      <w:pPr>
        <w:spacing w:line="360" w:lineRule="auto"/>
        <w:ind w:firstLineChars="100" w:firstLine="240"/>
        <w:rPr>
          <w:rFonts w:cs="Times New Roman"/>
          <w:sz w:val="24"/>
        </w:rPr>
      </w:pPr>
      <w:r w:rsidRPr="00BF60AD">
        <w:rPr>
          <w:rFonts w:cs="Times New Roman"/>
          <w:sz w:val="24"/>
        </w:rPr>
        <w:t>This study systematically examines the dynamic impact of innovation quality on the export performance of China's NEV industry. The empirical results consistently demonstrate that innovation quality is the fundamental driver behind the "volume-price rise" phenomenon. A rising proportion of invention patents not only accelerates export volume growth but also, through imbuing products with greater technological sophistication and brand equity, creates a potent and enduring premium impact, leading to a systematic increase in export unit prices. Crucially, the contribution and importance of innovation quality significantly surpass mere patent quantity expansion, marking a historic transition for China's NEV industry from "quantity expansion" to "quality catch-up" as the source of international competitiveness.</w:t>
      </w:r>
    </w:p>
    <w:p w14:paraId="07CFFB54" w14:textId="77777777" w:rsidR="00BF60AD" w:rsidRPr="00BF60AD" w:rsidRDefault="00BF60AD" w:rsidP="00BF60AD">
      <w:pPr>
        <w:spacing w:line="360" w:lineRule="auto"/>
        <w:ind w:firstLineChars="100" w:firstLine="240"/>
        <w:rPr>
          <w:rFonts w:cs="Times New Roman"/>
          <w:sz w:val="24"/>
        </w:rPr>
      </w:pPr>
      <w:r w:rsidRPr="00BF60AD">
        <w:rPr>
          <w:rFonts w:cs="Times New Roman"/>
          <w:sz w:val="24"/>
        </w:rPr>
        <w:t xml:space="preserve">These findings carry clear and profound policy implications. For the central government, the focus of industrial policy should shift from "quantity-based" incentives emphasizing R&amp;D input and total patent count towards an evaluation and resource allocation system centered on quality metrics like "invention patent share" and "high-value patent conversion rate." This implies that policy tools such as R&amp;D subsidies and tax benefits must be more precisely targeted towards firms and projects committed to fundamental technology breakthroughs and substantive innovation, thereby guiding the optimization of innovation resources at the national level. For local governments, it is essential to abandon short-sighted practices of blindly pursuing patent numbers in investment attraction and industrial planning. Instead, policy focus should be placed on building a long-term innovation ecosystem conducive to core technology breakthroughs. This includes establishing a robust intellectual property protection </w:t>
      </w:r>
      <w:r w:rsidRPr="00BF60AD">
        <w:rPr>
          <w:rFonts w:cs="Times New Roman"/>
          <w:sz w:val="24"/>
        </w:rPr>
        <w:lastRenderedPageBreak/>
        <w:t>regime, breaking down barriers to industry-university-research collaboration, and creating a favorable environment for attracting and retaining high-end innovative talent. Local governments must recognize that a healthy innovation ecosystem is far more supportive of sustainable industrial development and global competitive advantage than short-term patent statistics.</w:t>
      </w:r>
    </w:p>
    <w:p w14:paraId="50E9753F" w14:textId="77777777" w:rsidR="00BF60AD" w:rsidRPr="00BF60AD" w:rsidRDefault="00BF60AD" w:rsidP="00BF60AD">
      <w:pPr>
        <w:spacing w:line="360" w:lineRule="auto"/>
        <w:rPr>
          <w:rFonts w:cs="Times New Roman"/>
          <w:sz w:val="24"/>
        </w:rPr>
      </w:pPr>
      <w:r w:rsidRPr="00BF60AD">
        <w:rPr>
          <w:rFonts w:cs="Times New Roman"/>
          <w:sz w:val="24"/>
        </w:rPr>
        <w:t>This study has limitations. While monthly macro data effectively illuminates broad industry trends, it does not account for heterogeneity at the firm level, including variations in enterprise scale, ownership models, and market-specific export strategies. Subsequent studies might benefit from incorporating firm-level microdata to more precisely examine how innovation quality distinctly influences the export strategies, market positioning, and upward trajectories within global value chains across diverse enterprise categories. Such an approach would yield more refined empirical support for export upgrading models driven by innovation, while also delivering clearer guidance for the design of differentiated and targeted industrial policies.</w:t>
      </w:r>
    </w:p>
    <w:p w14:paraId="2743C06A" w14:textId="77777777" w:rsidR="00BF60AD" w:rsidRPr="00BF60AD" w:rsidRDefault="00BF60AD" w:rsidP="00BF60AD">
      <w:pPr>
        <w:spacing w:line="360" w:lineRule="auto"/>
        <w:ind w:firstLineChars="100" w:firstLine="240"/>
        <w:rPr>
          <w:rFonts w:cs="Times New Roman"/>
          <w:sz w:val="24"/>
        </w:rPr>
      </w:pPr>
    </w:p>
    <w:p w14:paraId="6D3963C5" w14:textId="77777777" w:rsidR="00BF60AD" w:rsidRPr="00BF60AD" w:rsidRDefault="00BF60AD" w:rsidP="00BF60AD">
      <w:pPr>
        <w:spacing w:line="360" w:lineRule="auto"/>
        <w:rPr>
          <w:rFonts w:eastAsia="Times New Roman" w:cs="Times New Roman"/>
          <w:b/>
          <w:sz w:val="24"/>
        </w:rPr>
      </w:pPr>
    </w:p>
    <w:p w14:paraId="4DB55E6C" w14:textId="77777777" w:rsidR="00BF60AD" w:rsidRPr="00BF60AD" w:rsidRDefault="00BF60AD" w:rsidP="00BF60AD">
      <w:pPr>
        <w:spacing w:line="360" w:lineRule="auto"/>
        <w:rPr>
          <w:rFonts w:eastAsia="Times New Roman" w:cs="Times New Roman"/>
          <w:b/>
          <w:sz w:val="24"/>
        </w:rPr>
      </w:pPr>
    </w:p>
    <w:p w14:paraId="41F4379E" w14:textId="77777777" w:rsidR="00BF60AD" w:rsidRPr="00BF60AD" w:rsidRDefault="00BF60AD" w:rsidP="00BF60AD">
      <w:pPr>
        <w:spacing w:line="360" w:lineRule="auto"/>
        <w:rPr>
          <w:rFonts w:eastAsia="Times New Roman" w:cs="Times New Roman"/>
          <w:b/>
          <w:sz w:val="24"/>
        </w:rPr>
      </w:pPr>
    </w:p>
    <w:p w14:paraId="51066ED5" w14:textId="77777777" w:rsidR="00BF60AD" w:rsidRPr="00BF60AD" w:rsidRDefault="00BF60AD" w:rsidP="00BF60AD">
      <w:pPr>
        <w:spacing w:line="360" w:lineRule="auto"/>
        <w:rPr>
          <w:rFonts w:eastAsia="宋体" w:cs="Times New Roman"/>
          <w:b/>
          <w:sz w:val="24"/>
        </w:rPr>
      </w:pPr>
      <w:r w:rsidRPr="00BF60AD">
        <w:rPr>
          <w:rFonts w:eastAsia="Times New Roman" w:cs="Times New Roman"/>
          <w:b/>
          <w:sz w:val="24"/>
        </w:rPr>
        <w:t>Acknowledgments</w:t>
      </w:r>
    </w:p>
    <w:p w14:paraId="7ED6B153" w14:textId="77777777" w:rsidR="00BF60AD" w:rsidRPr="00BF60AD" w:rsidRDefault="00BF60AD" w:rsidP="00BF60AD">
      <w:pPr>
        <w:spacing w:line="360" w:lineRule="auto"/>
        <w:ind w:firstLineChars="100" w:firstLine="240"/>
        <w:rPr>
          <w:rFonts w:eastAsiaTheme="minorEastAsia" w:cs="Times New Roman"/>
          <w:sz w:val="24"/>
        </w:rPr>
      </w:pPr>
      <w:r w:rsidRPr="00BF60AD">
        <w:rPr>
          <w:rFonts w:eastAsia="Times New Roman" w:cs="Times New Roman"/>
          <w:sz w:val="24"/>
        </w:rPr>
        <w:t xml:space="preserve">This research is supported by </w:t>
      </w:r>
      <w:bookmarkStart w:id="12" w:name="_Hlk215155055"/>
      <w:r w:rsidRPr="00BF60AD">
        <w:rPr>
          <w:rFonts w:eastAsia="Times New Roman" w:cs="Times New Roman"/>
          <w:sz w:val="24"/>
        </w:rPr>
        <w:t>Shanghai Polytechnic University</w:t>
      </w:r>
      <w:bookmarkEnd w:id="12"/>
      <w:r w:rsidRPr="00BF60AD">
        <w:rPr>
          <w:rFonts w:eastAsia="Times New Roman" w:cs="Times New Roman"/>
          <w:sz w:val="24"/>
        </w:rPr>
        <w:t>. The author would like to express sincere gratitude to his supervisor for the invaluable guidance and continuous encouragement throughout this study. The author also extends thanks to the editors and anonymous reviewers for their constructive comments and suggestions.</w:t>
      </w:r>
    </w:p>
    <w:p w14:paraId="0D5DB617" w14:textId="77777777" w:rsidR="00BF60AD" w:rsidRPr="00BF60AD" w:rsidRDefault="00BF60AD" w:rsidP="00BF60AD">
      <w:pPr>
        <w:spacing w:line="360" w:lineRule="auto"/>
        <w:rPr>
          <w:rFonts w:eastAsia="Times New Roman" w:cs="Times New Roman"/>
          <w:sz w:val="24"/>
        </w:rPr>
      </w:pPr>
    </w:p>
    <w:p w14:paraId="5F1F4A46" w14:textId="77777777" w:rsidR="00BF60AD" w:rsidRPr="00BF60AD" w:rsidRDefault="00BF60AD" w:rsidP="00BF60AD">
      <w:pPr>
        <w:spacing w:line="360" w:lineRule="auto"/>
        <w:rPr>
          <w:rFonts w:eastAsia="Times New Roman" w:cs="Times New Roman"/>
          <w:sz w:val="24"/>
        </w:rPr>
      </w:pPr>
    </w:p>
    <w:p w14:paraId="4E7148EE" w14:textId="77777777" w:rsidR="00BF60AD" w:rsidRPr="00BF60AD" w:rsidRDefault="00BF60AD" w:rsidP="00BF60AD">
      <w:pPr>
        <w:widowControl/>
        <w:spacing w:line="360" w:lineRule="auto"/>
        <w:rPr>
          <w:rFonts w:cs="Times New Roman"/>
          <w:b/>
          <w:sz w:val="24"/>
        </w:rPr>
      </w:pPr>
      <w:r w:rsidRPr="00BF60AD">
        <w:rPr>
          <w:rFonts w:eastAsia="Arial-BoldMT" w:cs="Times New Roman"/>
          <w:b/>
          <w:bCs/>
          <w:kern w:val="0"/>
          <w:sz w:val="24"/>
          <w:lang w:bidi="ar"/>
        </w:rPr>
        <w:t>Funding</w:t>
      </w:r>
    </w:p>
    <w:p w14:paraId="6B07A2B5" w14:textId="77777777" w:rsidR="00BF60AD" w:rsidRPr="00BF60AD" w:rsidRDefault="00BF60AD" w:rsidP="00BF60AD">
      <w:pPr>
        <w:spacing w:line="360" w:lineRule="auto"/>
        <w:rPr>
          <w:rFonts w:cs="Times New Roman"/>
          <w:sz w:val="24"/>
        </w:rPr>
      </w:pPr>
      <w:r w:rsidRPr="00BF60AD">
        <w:rPr>
          <w:rFonts w:cs="Times New Roman"/>
          <w:sz w:val="24"/>
        </w:rPr>
        <w:t>This study was supported by grant from Shanghai Polytechnic University.</w:t>
      </w:r>
    </w:p>
    <w:p w14:paraId="1EF9E833" w14:textId="77777777" w:rsidR="00BF60AD" w:rsidRPr="00BF60AD" w:rsidRDefault="00BF60AD" w:rsidP="00BF60AD">
      <w:pPr>
        <w:spacing w:line="360" w:lineRule="auto"/>
        <w:rPr>
          <w:rFonts w:eastAsia="Times New Roman" w:cs="Times New Roman"/>
          <w:sz w:val="24"/>
        </w:rPr>
      </w:pPr>
    </w:p>
    <w:p w14:paraId="744DBC53" w14:textId="77777777" w:rsidR="00BF60AD" w:rsidRPr="00BF60AD" w:rsidRDefault="00BF60AD" w:rsidP="00BF60AD">
      <w:pPr>
        <w:spacing w:line="360" w:lineRule="auto"/>
        <w:rPr>
          <w:rFonts w:eastAsia="Times New Roman" w:cs="Times New Roman"/>
          <w:sz w:val="24"/>
        </w:rPr>
      </w:pPr>
    </w:p>
    <w:p w14:paraId="653EA726" w14:textId="77777777" w:rsidR="00BF60AD" w:rsidRPr="00BF60AD" w:rsidRDefault="00BF60AD" w:rsidP="00BF60AD">
      <w:pPr>
        <w:spacing w:line="360" w:lineRule="auto"/>
        <w:rPr>
          <w:rFonts w:eastAsia="Times New Roman" w:cs="Times New Roman"/>
          <w:sz w:val="24"/>
        </w:rPr>
      </w:pPr>
    </w:p>
    <w:p w14:paraId="2F9F4555" w14:textId="77777777" w:rsidR="00BF60AD" w:rsidRPr="00BF60AD" w:rsidRDefault="00BF60AD" w:rsidP="00BF60AD">
      <w:pPr>
        <w:spacing w:line="360" w:lineRule="auto"/>
        <w:rPr>
          <w:rFonts w:eastAsia="宋体" w:cs="Times New Roman"/>
          <w:b/>
          <w:sz w:val="24"/>
        </w:rPr>
      </w:pPr>
      <w:r w:rsidRPr="00BF60AD">
        <w:rPr>
          <w:rFonts w:eastAsia="Times New Roman" w:cs="Times New Roman"/>
          <w:b/>
          <w:sz w:val="24"/>
        </w:rPr>
        <w:lastRenderedPageBreak/>
        <w:t>References</w:t>
      </w:r>
      <w:r w:rsidRPr="00BF60AD">
        <w:rPr>
          <w:rFonts w:eastAsia="宋体" w:cs="Times New Roman"/>
          <w:b/>
          <w:sz w:val="24"/>
        </w:rPr>
        <w:t xml:space="preserve"> </w:t>
      </w:r>
    </w:p>
    <w:p w14:paraId="0C339045" w14:textId="77777777" w:rsidR="00BF60AD" w:rsidRPr="00BF60AD" w:rsidRDefault="00BF60AD" w:rsidP="00BF60AD">
      <w:pPr>
        <w:pStyle w:val="af0"/>
        <w:widowControl/>
        <w:spacing w:beforeAutospacing="0" w:afterAutospacing="0" w:line="360" w:lineRule="auto"/>
        <w:jc w:val="both"/>
        <w:rPr>
          <w:rFonts w:eastAsiaTheme="minorEastAsia"/>
        </w:rPr>
      </w:pPr>
    </w:p>
    <w:p w14:paraId="313257FF"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13" w:name="_Ref216369616"/>
      <w:r w:rsidRPr="00BF60AD">
        <w:rPr>
          <w:rFonts w:eastAsiaTheme="minorEastAsia"/>
        </w:rPr>
        <w:t xml:space="preserve">Zhihua Ruan &amp; </w:t>
      </w:r>
      <w:proofErr w:type="spellStart"/>
      <w:r w:rsidRPr="00BF60AD">
        <w:rPr>
          <w:rFonts w:eastAsiaTheme="minorEastAsia"/>
        </w:rPr>
        <w:t>Zhikun</w:t>
      </w:r>
      <w:proofErr w:type="spellEnd"/>
      <w:r w:rsidRPr="00BF60AD">
        <w:rPr>
          <w:rFonts w:eastAsiaTheme="minorEastAsia"/>
        </w:rPr>
        <w:t xml:space="preserve"> Liu.(2025).Analysis of Technological Innovation Efficiency in Listed New Energy Vehicle Enterprises Under the Carbon Neutrality Framework Based on Two-Stage Dynamic Network DEA and a GRA Model. World Electric Vehicle Journal,16(11),635-635.</w:t>
      </w:r>
      <w:bookmarkEnd w:id="13"/>
    </w:p>
    <w:p w14:paraId="73669C90"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14" w:name="_Ref216369621"/>
      <w:r w:rsidRPr="00BF60AD">
        <w:rPr>
          <w:rFonts w:eastAsiaTheme="minorEastAsia"/>
        </w:rPr>
        <w:t xml:space="preserve">Junjie Wang, </w:t>
      </w:r>
      <w:proofErr w:type="spellStart"/>
      <w:r w:rsidRPr="00BF60AD">
        <w:rPr>
          <w:rFonts w:eastAsiaTheme="minorEastAsia"/>
        </w:rPr>
        <w:t>Zifan</w:t>
      </w:r>
      <w:proofErr w:type="spellEnd"/>
      <w:r w:rsidRPr="00BF60AD">
        <w:rPr>
          <w:rFonts w:eastAsiaTheme="minorEastAsia"/>
        </w:rPr>
        <w:t xml:space="preserve"> Wang, Huimin Zhou, </w:t>
      </w:r>
      <w:proofErr w:type="spellStart"/>
      <w:r w:rsidRPr="00BF60AD">
        <w:rPr>
          <w:rFonts w:eastAsiaTheme="minorEastAsia"/>
        </w:rPr>
        <w:t>Yuanping</w:t>
      </w:r>
      <w:proofErr w:type="spellEnd"/>
      <w:r w:rsidRPr="00BF60AD">
        <w:rPr>
          <w:rFonts w:eastAsiaTheme="minorEastAsia"/>
        </w:rPr>
        <w:t xml:space="preserve"> Ding, Ying Cai &amp; </w:t>
      </w:r>
      <w:proofErr w:type="spellStart"/>
      <w:r w:rsidRPr="00BF60AD">
        <w:rPr>
          <w:rFonts w:eastAsiaTheme="minorEastAsia"/>
        </w:rPr>
        <w:t>Yaoguo</w:t>
      </w:r>
      <w:proofErr w:type="spellEnd"/>
      <w:r w:rsidRPr="00BF60AD">
        <w:rPr>
          <w:rFonts w:eastAsiaTheme="minorEastAsia"/>
        </w:rPr>
        <w:t xml:space="preserve">  Dang.(2026).Considering the impact and accumulative time-delay effects of the battery technology innovation and subsidy policy for predicting the new energy vehicle sales. Computers &amp; Industrial Engineering,212,111674-111674.</w:t>
      </w:r>
      <w:bookmarkEnd w:id="14"/>
    </w:p>
    <w:p w14:paraId="429132BA"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15" w:name="_Ref216369627"/>
      <w:r w:rsidRPr="00BF60AD">
        <w:rPr>
          <w:rFonts w:eastAsiaTheme="minorEastAsia"/>
        </w:rPr>
        <w:t>Duan X ,Wang Y .A Study on the Impact of Local Policy Response on the Technological Innovation of the New Energy Vehicle Industry[J].Sustainability,2025,17(19):8873-8873.</w:t>
      </w:r>
      <w:bookmarkEnd w:id="15"/>
    </w:p>
    <w:p w14:paraId="5753F17F"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16" w:name="_Ref216369642"/>
      <w:proofErr w:type="spellStart"/>
      <w:r w:rsidRPr="00BF60AD">
        <w:rPr>
          <w:rFonts w:eastAsiaTheme="minorEastAsia"/>
        </w:rPr>
        <w:t>Dehai</w:t>
      </w:r>
      <w:proofErr w:type="spellEnd"/>
      <w:r w:rsidRPr="00BF60AD">
        <w:rPr>
          <w:rFonts w:eastAsiaTheme="minorEastAsia"/>
        </w:rPr>
        <w:t xml:space="preserve"> Liu, </w:t>
      </w:r>
      <w:proofErr w:type="spellStart"/>
      <w:r w:rsidRPr="00BF60AD">
        <w:rPr>
          <w:rFonts w:eastAsiaTheme="minorEastAsia"/>
        </w:rPr>
        <w:t>Shaoyan</w:t>
      </w:r>
      <w:proofErr w:type="spellEnd"/>
      <w:r w:rsidRPr="00BF60AD">
        <w:rPr>
          <w:rFonts w:eastAsiaTheme="minorEastAsia"/>
        </w:rPr>
        <w:t xml:space="preserve"> Fu, </w:t>
      </w:r>
      <w:proofErr w:type="spellStart"/>
      <w:r w:rsidRPr="00BF60AD">
        <w:rPr>
          <w:rFonts w:eastAsiaTheme="minorEastAsia"/>
        </w:rPr>
        <w:t>Huiyun</w:t>
      </w:r>
      <w:proofErr w:type="spellEnd"/>
      <w:r w:rsidRPr="00BF60AD">
        <w:rPr>
          <w:rFonts w:eastAsiaTheme="minorEastAsia"/>
        </w:rPr>
        <w:t xml:space="preserve"> Li &amp; </w:t>
      </w:r>
      <w:proofErr w:type="spellStart"/>
      <w:r w:rsidRPr="00BF60AD">
        <w:rPr>
          <w:rFonts w:eastAsiaTheme="minorEastAsia"/>
        </w:rPr>
        <w:t>Fuqiang</w:t>
      </w:r>
      <w:proofErr w:type="spellEnd"/>
      <w:r w:rsidRPr="00BF60AD">
        <w:rPr>
          <w:rFonts w:eastAsiaTheme="minorEastAsia"/>
        </w:rPr>
        <w:t xml:space="preserve"> Huang.(2025)."Dual-Smart" city construction and technical innovation: Evidence from China's new energy vehicle industry.Energy,335,138253-138253.</w:t>
      </w:r>
      <w:bookmarkEnd w:id="16"/>
    </w:p>
    <w:p w14:paraId="4A646C81"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17" w:name="_Ref216369653"/>
      <w:r w:rsidRPr="00BF60AD">
        <w:rPr>
          <w:rFonts w:eastAsiaTheme="minorEastAsia"/>
        </w:rPr>
        <w:t>Yu Fan &amp; Yang Liu.(2025).Sustainable drive: External ESG rating events serve as an accelerator for innovation in the new energy vehicle industry. Energy Strategy Reviews,61,101874-101874.</w:t>
      </w:r>
      <w:bookmarkEnd w:id="17"/>
    </w:p>
    <w:p w14:paraId="09A362C3"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18" w:name="_Ref216369659"/>
      <w:r w:rsidRPr="00BF60AD">
        <w:rPr>
          <w:rFonts w:eastAsiaTheme="minorEastAsia"/>
        </w:rPr>
        <w:t xml:space="preserve">Yawei Xue, </w:t>
      </w:r>
      <w:proofErr w:type="spellStart"/>
      <w:r w:rsidRPr="00BF60AD">
        <w:rPr>
          <w:rFonts w:eastAsiaTheme="minorEastAsia"/>
        </w:rPr>
        <w:t>Chunqian</w:t>
      </w:r>
      <w:proofErr w:type="spellEnd"/>
      <w:r w:rsidRPr="00BF60AD">
        <w:rPr>
          <w:rFonts w:eastAsiaTheme="minorEastAsia"/>
        </w:rPr>
        <w:t xml:space="preserve"> Zhu &amp; Yuchen Lu.(2025).Research on the Influence Mechanism of New Energy Vehicle Promotion Policy.Sustainability,17(8),3699-3699.</w:t>
      </w:r>
      <w:bookmarkEnd w:id="18"/>
    </w:p>
    <w:p w14:paraId="5C109AC5"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19" w:name="_Ref216369666"/>
      <w:r w:rsidRPr="00BF60AD">
        <w:rPr>
          <w:rFonts w:eastAsiaTheme="minorEastAsia"/>
        </w:rPr>
        <w:t xml:space="preserve">Li </w:t>
      </w:r>
      <w:proofErr w:type="spellStart"/>
      <w:r w:rsidRPr="00BF60AD">
        <w:rPr>
          <w:rFonts w:eastAsiaTheme="minorEastAsia"/>
        </w:rPr>
        <w:t>Weibing</w:t>
      </w:r>
      <w:proofErr w:type="spellEnd"/>
      <w:r w:rsidRPr="00BF60AD">
        <w:rPr>
          <w:rFonts w:eastAsiaTheme="minorEastAsia"/>
        </w:rPr>
        <w:t xml:space="preserve"> &amp; Zhang Xing.(2023).Can the Exemption of the New Energy Vehicle Purchase Tax Policy Induce Technological Innovation of Automobile Companies? Environmental science and pollution research international,30(45),101669-101680.</w:t>
      </w:r>
      <w:bookmarkEnd w:id="19"/>
    </w:p>
    <w:p w14:paraId="040E5FCC"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0" w:name="_Ref216369690"/>
      <w:proofErr w:type="spellStart"/>
      <w:r w:rsidRPr="00BF60AD">
        <w:rPr>
          <w:rFonts w:eastAsiaTheme="minorEastAsia"/>
        </w:rPr>
        <w:t>Xuanwen</w:t>
      </w:r>
      <w:proofErr w:type="spellEnd"/>
      <w:r w:rsidRPr="00BF60AD">
        <w:rPr>
          <w:rFonts w:eastAsiaTheme="minorEastAsia"/>
        </w:rPr>
        <w:t xml:space="preserve"> Wang, Lei Zhu &amp; Haitao Zheng.(2025).The relationship between technical innovation and market value: Evidence from the China's new energy vehicles industry. Energy Policy,202,114606-114606.</w:t>
      </w:r>
      <w:bookmarkEnd w:id="20"/>
    </w:p>
    <w:p w14:paraId="367DBBA0"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1" w:name="_Ref216369698"/>
      <w:r w:rsidRPr="00BF60AD">
        <w:rPr>
          <w:rFonts w:eastAsiaTheme="minorEastAsia"/>
        </w:rPr>
        <w:lastRenderedPageBreak/>
        <w:t xml:space="preserve">Kexin Yang, Qi Zhang, </w:t>
      </w:r>
      <w:proofErr w:type="spellStart"/>
      <w:r w:rsidRPr="00BF60AD">
        <w:rPr>
          <w:rFonts w:eastAsiaTheme="minorEastAsia"/>
        </w:rPr>
        <w:t>Qiqi</w:t>
      </w:r>
      <w:proofErr w:type="spellEnd"/>
      <w:r w:rsidRPr="00BF60AD">
        <w:rPr>
          <w:rFonts w:eastAsiaTheme="minorEastAsia"/>
        </w:rPr>
        <w:t xml:space="preserve"> Liu, </w:t>
      </w:r>
      <w:proofErr w:type="spellStart"/>
      <w:r w:rsidRPr="00BF60AD">
        <w:rPr>
          <w:rFonts w:eastAsiaTheme="minorEastAsia"/>
        </w:rPr>
        <w:t>Jiangfeng</w:t>
      </w:r>
      <w:proofErr w:type="spellEnd"/>
      <w:r w:rsidRPr="00BF60AD">
        <w:rPr>
          <w:rFonts w:eastAsiaTheme="minorEastAsia"/>
        </w:rPr>
        <w:t xml:space="preserve"> Liu &amp; Jie Jiao.(2024).Effect mechanism and efficiency evaluation of financial support on technological innovation in the new energy vehicles’ industrial chain.Energy,293,130761-.</w:t>
      </w:r>
      <w:bookmarkEnd w:id="21"/>
    </w:p>
    <w:p w14:paraId="1093AA8A"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2" w:name="_Ref216369706"/>
      <w:r w:rsidRPr="00BF60AD">
        <w:rPr>
          <w:rFonts w:eastAsiaTheme="minorEastAsia"/>
        </w:rPr>
        <w:t xml:space="preserve">Xue Jian, Fan </w:t>
      </w:r>
      <w:proofErr w:type="spellStart"/>
      <w:r w:rsidRPr="00BF60AD">
        <w:rPr>
          <w:rFonts w:eastAsiaTheme="minorEastAsia"/>
        </w:rPr>
        <w:t>YiXue</w:t>
      </w:r>
      <w:proofErr w:type="spellEnd"/>
      <w:r w:rsidRPr="00BF60AD">
        <w:rPr>
          <w:rFonts w:eastAsiaTheme="minorEastAsia"/>
        </w:rPr>
        <w:t xml:space="preserve"> &amp; </w:t>
      </w:r>
      <w:proofErr w:type="spellStart"/>
      <w:r w:rsidRPr="00BF60AD">
        <w:rPr>
          <w:rFonts w:eastAsiaTheme="minorEastAsia"/>
        </w:rPr>
        <w:t>Lv</w:t>
      </w:r>
      <w:proofErr w:type="spellEnd"/>
      <w:r w:rsidRPr="00BF60AD">
        <w:rPr>
          <w:rFonts w:eastAsiaTheme="minorEastAsia"/>
        </w:rPr>
        <w:t xml:space="preserve"> Yang.(2024).The evolution of patent cooperation network for new energy vehicle power </w:t>
      </w:r>
      <w:proofErr w:type="spellStart"/>
      <w:r w:rsidRPr="00BF60AD">
        <w:rPr>
          <w:rFonts w:eastAsiaTheme="minorEastAsia"/>
        </w:rPr>
        <w:t>battery.SN</w:t>
      </w:r>
      <w:proofErr w:type="spellEnd"/>
      <w:r w:rsidRPr="00BF60AD">
        <w:rPr>
          <w:rFonts w:eastAsiaTheme="minorEastAsia"/>
        </w:rPr>
        <w:t xml:space="preserve"> Business &amp; Economics,4(7).</w:t>
      </w:r>
      <w:bookmarkEnd w:id="22"/>
    </w:p>
    <w:p w14:paraId="0C023991"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3" w:name="_Ref216369720"/>
      <w:proofErr w:type="spellStart"/>
      <w:r w:rsidRPr="00BF60AD">
        <w:rPr>
          <w:rFonts w:eastAsiaTheme="minorEastAsia"/>
        </w:rPr>
        <w:t>Ruifeng</w:t>
      </w:r>
      <w:proofErr w:type="spellEnd"/>
      <w:r w:rsidRPr="00BF60AD">
        <w:rPr>
          <w:rFonts w:eastAsiaTheme="minorEastAsia"/>
        </w:rPr>
        <w:t xml:space="preserve"> Hu, Teng Cai &amp; </w:t>
      </w:r>
      <w:proofErr w:type="spellStart"/>
      <w:r w:rsidRPr="00BF60AD">
        <w:rPr>
          <w:rFonts w:eastAsiaTheme="minorEastAsia"/>
        </w:rPr>
        <w:t>Weiqiao</w:t>
      </w:r>
      <w:proofErr w:type="spellEnd"/>
      <w:r w:rsidRPr="00BF60AD">
        <w:rPr>
          <w:rFonts w:eastAsiaTheme="minorEastAsia"/>
        </w:rPr>
        <w:t xml:space="preserve"> Xu.(2024).Exploring the technology changes of new energy vehicles in China: Evolution and trends. Computers &amp; Industrial Engineering,191,110178-.</w:t>
      </w:r>
      <w:bookmarkEnd w:id="23"/>
    </w:p>
    <w:p w14:paraId="4C672373"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4" w:name="_Ref216369872"/>
      <w:r w:rsidRPr="00BF60AD">
        <w:rPr>
          <w:rFonts w:eastAsiaTheme="minorEastAsia"/>
        </w:rPr>
        <w:t xml:space="preserve">Zhang </w:t>
      </w:r>
      <w:proofErr w:type="spellStart"/>
      <w:r w:rsidRPr="00BF60AD">
        <w:rPr>
          <w:rFonts w:eastAsiaTheme="minorEastAsia"/>
        </w:rPr>
        <w:t>Shurui,Deng</w:t>
      </w:r>
      <w:proofErr w:type="spellEnd"/>
      <w:r w:rsidRPr="00BF60AD">
        <w:rPr>
          <w:rFonts w:eastAsiaTheme="minorEastAsia"/>
        </w:rPr>
        <w:t xml:space="preserve"> </w:t>
      </w:r>
      <w:proofErr w:type="spellStart"/>
      <w:r w:rsidRPr="00BF60AD">
        <w:rPr>
          <w:rFonts w:eastAsiaTheme="minorEastAsia"/>
        </w:rPr>
        <w:t>Lin,Zhou</w:t>
      </w:r>
      <w:proofErr w:type="spellEnd"/>
      <w:r w:rsidRPr="00BF60AD">
        <w:rPr>
          <w:rFonts w:eastAsiaTheme="minorEastAsia"/>
        </w:rPr>
        <w:t xml:space="preserve"> Wei &amp; Zhang Lei.(2024).The impact of public policies on China’s new energy vehicles from the perspective of institutional economics.E3S Web of Conferences,565.</w:t>
      </w:r>
      <w:bookmarkEnd w:id="24"/>
    </w:p>
    <w:p w14:paraId="2BC7E053"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5" w:name="_Ref216369881"/>
      <w:r w:rsidRPr="00BF60AD">
        <w:rPr>
          <w:rFonts w:eastAsiaTheme="minorEastAsia"/>
        </w:rPr>
        <w:t>Mei Yuping &amp; Dong Qianqian.(2024).Analysis of China’s New Energy Vehicle Export Competitiveness in a Dual-Carbon Context. Proceedings of Business and Economic Studies,7(6),1-8.</w:t>
      </w:r>
      <w:bookmarkEnd w:id="25"/>
    </w:p>
    <w:p w14:paraId="2DF5990F"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6" w:name="_Ref216369930"/>
      <w:r w:rsidRPr="00BF60AD">
        <w:rPr>
          <w:rFonts w:eastAsiaTheme="minorEastAsia"/>
        </w:rPr>
        <w:t xml:space="preserve">He </w:t>
      </w:r>
      <w:proofErr w:type="spellStart"/>
      <w:r w:rsidRPr="00BF60AD">
        <w:rPr>
          <w:rFonts w:eastAsiaTheme="minorEastAsia"/>
        </w:rPr>
        <w:t>Jiaxin,Li</w:t>
      </w:r>
      <w:proofErr w:type="spellEnd"/>
      <w:r w:rsidRPr="00BF60AD">
        <w:rPr>
          <w:rFonts w:eastAsiaTheme="minorEastAsia"/>
        </w:rPr>
        <w:t xml:space="preserve"> Jingyi, Zhao </w:t>
      </w:r>
      <w:proofErr w:type="spellStart"/>
      <w:r w:rsidRPr="00BF60AD">
        <w:rPr>
          <w:rFonts w:eastAsiaTheme="minorEastAsia"/>
        </w:rPr>
        <w:t>Daiqing</w:t>
      </w:r>
      <w:proofErr w:type="spellEnd"/>
      <w:r w:rsidRPr="00BF60AD">
        <w:rPr>
          <w:rFonts w:eastAsiaTheme="minorEastAsia"/>
        </w:rPr>
        <w:t xml:space="preserve"> &amp; Chen Xing.(2022).Does oil price affect corporate innovation? Evidence from new energy vehicle enterprises in China. Renewable and Sustainable Energy Reviews,156.</w:t>
      </w:r>
      <w:bookmarkEnd w:id="26"/>
    </w:p>
    <w:p w14:paraId="41FDA42C"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7" w:name="_Ref216369942"/>
      <w:r w:rsidRPr="00BF60AD">
        <w:rPr>
          <w:rFonts w:eastAsiaTheme="minorEastAsia"/>
        </w:rPr>
        <w:t>Yao Xiao.(2025).A Case-study on Tesla Inc. Based on the Value Chain Theory. Academic Journal of Business &amp; Management,7(10).</w:t>
      </w:r>
      <w:bookmarkEnd w:id="27"/>
    </w:p>
    <w:p w14:paraId="3A901004" w14:textId="77777777" w:rsidR="00BF60AD" w:rsidRPr="00BF60AD" w:rsidRDefault="00BF60AD" w:rsidP="00BF60AD">
      <w:pPr>
        <w:pStyle w:val="af0"/>
        <w:widowControl/>
        <w:numPr>
          <w:ilvl w:val="0"/>
          <w:numId w:val="2"/>
        </w:numPr>
        <w:spacing w:beforeAutospacing="0" w:afterAutospacing="0" w:line="360" w:lineRule="auto"/>
        <w:jc w:val="both"/>
        <w:rPr>
          <w:rFonts w:eastAsiaTheme="minorEastAsia"/>
        </w:rPr>
      </w:pPr>
      <w:bookmarkStart w:id="28" w:name="_Ref216369947"/>
      <w:r w:rsidRPr="00BF60AD">
        <w:rPr>
          <w:rFonts w:eastAsiaTheme="minorEastAsia"/>
        </w:rPr>
        <w:t xml:space="preserve">Zhu </w:t>
      </w:r>
      <w:proofErr w:type="spellStart"/>
      <w:r w:rsidRPr="00BF60AD">
        <w:rPr>
          <w:rFonts w:eastAsiaTheme="minorEastAsia"/>
        </w:rPr>
        <w:t>Lingjie</w:t>
      </w:r>
      <w:proofErr w:type="spellEnd"/>
      <w:r w:rsidRPr="00BF60AD">
        <w:rPr>
          <w:rFonts w:eastAsiaTheme="minorEastAsia"/>
        </w:rPr>
        <w:t>.(2025).Analysis of Technological Innovation and Competitive Advantage in New Energy Vehicle Industry: BYD as an Example. SHS Web of Conferences,218,01031-01031.</w:t>
      </w:r>
      <w:bookmarkEnd w:id="28"/>
    </w:p>
    <w:p w14:paraId="4E30CD60" w14:textId="77777777" w:rsidR="00BF60AD" w:rsidRPr="00BF60AD" w:rsidRDefault="00BF60AD" w:rsidP="00BF60AD">
      <w:pPr>
        <w:spacing w:line="360" w:lineRule="auto"/>
        <w:rPr>
          <w:rFonts w:cs="Times New Roman"/>
          <w:sz w:val="24"/>
        </w:rPr>
      </w:pPr>
    </w:p>
    <w:sectPr w:rsidR="00BF60AD" w:rsidRPr="00BF6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Calibri"/>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BoldMT">
    <w:panose1 w:val="020B06040202020202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949FA"/>
    <w:multiLevelType w:val="hybridMultilevel"/>
    <w:tmpl w:val="9D2C28FA"/>
    <w:lvl w:ilvl="0" w:tplc="F644471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935231D"/>
    <w:multiLevelType w:val="multilevel"/>
    <w:tmpl w:val="293523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36029691">
    <w:abstractNumId w:val="1"/>
  </w:num>
  <w:num w:numId="2" w16cid:durableId="206166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AD"/>
    <w:rsid w:val="000454EE"/>
    <w:rsid w:val="000C59F3"/>
    <w:rsid w:val="00301A6A"/>
    <w:rsid w:val="003050A2"/>
    <w:rsid w:val="003070A4"/>
    <w:rsid w:val="003E225A"/>
    <w:rsid w:val="004C71EB"/>
    <w:rsid w:val="005806C1"/>
    <w:rsid w:val="006334CE"/>
    <w:rsid w:val="006360E7"/>
    <w:rsid w:val="00654E2B"/>
    <w:rsid w:val="00681A88"/>
    <w:rsid w:val="006B1953"/>
    <w:rsid w:val="00777508"/>
    <w:rsid w:val="00BD1A29"/>
    <w:rsid w:val="00BF60AD"/>
    <w:rsid w:val="00C10CB7"/>
    <w:rsid w:val="00D871A5"/>
    <w:rsid w:val="00DB687C"/>
    <w:rsid w:val="00F0374B"/>
    <w:rsid w:val="00F5337C"/>
    <w:rsid w:val="00F81605"/>
    <w:rsid w:val="00F86100"/>
    <w:rsid w:val="00FA4F73"/>
    <w:rsid w:val="00FF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D9EAD8"/>
  <w15:chartTrackingRefBased/>
  <w15:docId w15:val="{90EA1DA6-ED9F-374E-8437-24617204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0AD"/>
    <w:pPr>
      <w:widowControl w:val="0"/>
      <w:jc w:val="both"/>
    </w:pPr>
    <w:rPr>
      <w:rFonts w:ascii="Times New Roman" w:eastAsia="t" w:hAnsi="Times New Roman"/>
    </w:rPr>
  </w:style>
  <w:style w:type="paragraph" w:styleId="1">
    <w:name w:val="heading 1"/>
    <w:basedOn w:val="a"/>
    <w:next w:val="a"/>
    <w:link w:val="10"/>
    <w:uiPriority w:val="9"/>
    <w:qFormat/>
    <w:rsid w:val="00BF6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0A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0A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0A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F60A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0AD"/>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BF60AD"/>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BF60AD"/>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BF60AD"/>
    <w:rPr>
      <w:rFonts w:cstheme="majorBidi"/>
      <w:noProof/>
      <w:color w:val="2F5496" w:themeColor="accent1" w:themeShade="BF"/>
      <w:sz w:val="28"/>
      <w:szCs w:val="28"/>
    </w:rPr>
  </w:style>
  <w:style w:type="character" w:customStyle="1" w:styleId="50">
    <w:name w:val="标题 5 字符"/>
    <w:basedOn w:val="a0"/>
    <w:link w:val="5"/>
    <w:uiPriority w:val="9"/>
    <w:semiHidden/>
    <w:rsid w:val="00BF60AD"/>
    <w:rPr>
      <w:rFonts w:cstheme="majorBidi"/>
      <w:noProof/>
      <w:color w:val="2F5496" w:themeColor="accent1" w:themeShade="BF"/>
      <w:sz w:val="24"/>
    </w:rPr>
  </w:style>
  <w:style w:type="character" w:customStyle="1" w:styleId="60">
    <w:name w:val="标题 6 字符"/>
    <w:basedOn w:val="a0"/>
    <w:link w:val="6"/>
    <w:uiPriority w:val="9"/>
    <w:semiHidden/>
    <w:rsid w:val="00BF60AD"/>
    <w:rPr>
      <w:rFonts w:cstheme="majorBidi"/>
      <w:b/>
      <w:bCs/>
      <w:noProof/>
      <w:color w:val="2F5496" w:themeColor="accent1" w:themeShade="BF"/>
    </w:rPr>
  </w:style>
  <w:style w:type="character" w:customStyle="1" w:styleId="70">
    <w:name w:val="标题 7 字符"/>
    <w:basedOn w:val="a0"/>
    <w:link w:val="7"/>
    <w:uiPriority w:val="9"/>
    <w:semiHidden/>
    <w:rsid w:val="00BF60AD"/>
    <w:rPr>
      <w:rFonts w:cstheme="majorBidi"/>
      <w:b/>
      <w:bCs/>
      <w:noProof/>
      <w:color w:val="595959" w:themeColor="text1" w:themeTint="A6"/>
    </w:rPr>
  </w:style>
  <w:style w:type="character" w:customStyle="1" w:styleId="80">
    <w:name w:val="标题 8 字符"/>
    <w:basedOn w:val="a0"/>
    <w:link w:val="8"/>
    <w:uiPriority w:val="9"/>
    <w:semiHidden/>
    <w:rsid w:val="00BF60AD"/>
    <w:rPr>
      <w:rFonts w:cstheme="majorBidi"/>
      <w:noProof/>
      <w:color w:val="595959" w:themeColor="text1" w:themeTint="A6"/>
    </w:rPr>
  </w:style>
  <w:style w:type="character" w:customStyle="1" w:styleId="90">
    <w:name w:val="标题 9 字符"/>
    <w:basedOn w:val="a0"/>
    <w:link w:val="9"/>
    <w:uiPriority w:val="9"/>
    <w:semiHidden/>
    <w:rsid w:val="00BF60AD"/>
    <w:rPr>
      <w:rFonts w:eastAsiaTheme="majorEastAsia" w:cstheme="majorBidi"/>
      <w:noProof/>
      <w:color w:val="595959" w:themeColor="text1" w:themeTint="A6"/>
    </w:rPr>
  </w:style>
  <w:style w:type="paragraph" w:styleId="a3">
    <w:name w:val="Title"/>
    <w:basedOn w:val="a"/>
    <w:next w:val="a"/>
    <w:link w:val="a4"/>
    <w:uiPriority w:val="10"/>
    <w:qFormat/>
    <w:rsid w:val="00BF60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0AD"/>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BF60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0AD"/>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BF60AD"/>
    <w:pPr>
      <w:spacing w:before="160" w:after="160"/>
      <w:jc w:val="center"/>
    </w:pPr>
    <w:rPr>
      <w:i/>
      <w:iCs/>
      <w:color w:val="404040" w:themeColor="text1" w:themeTint="BF"/>
    </w:rPr>
  </w:style>
  <w:style w:type="character" w:customStyle="1" w:styleId="a8">
    <w:name w:val="引用 字符"/>
    <w:basedOn w:val="a0"/>
    <w:link w:val="a7"/>
    <w:uiPriority w:val="29"/>
    <w:rsid w:val="00BF60AD"/>
    <w:rPr>
      <w:i/>
      <w:iCs/>
      <w:noProof/>
      <w:color w:val="404040" w:themeColor="text1" w:themeTint="BF"/>
    </w:rPr>
  </w:style>
  <w:style w:type="paragraph" w:styleId="a9">
    <w:name w:val="List Paragraph"/>
    <w:basedOn w:val="a"/>
    <w:uiPriority w:val="34"/>
    <w:qFormat/>
    <w:rsid w:val="00BF60AD"/>
    <w:pPr>
      <w:ind w:left="720"/>
      <w:contextualSpacing/>
    </w:pPr>
  </w:style>
  <w:style w:type="character" w:styleId="aa">
    <w:name w:val="Intense Emphasis"/>
    <w:basedOn w:val="a0"/>
    <w:uiPriority w:val="21"/>
    <w:qFormat/>
    <w:rsid w:val="00BF60AD"/>
    <w:rPr>
      <w:i/>
      <w:iCs/>
      <w:color w:val="2F5496" w:themeColor="accent1" w:themeShade="BF"/>
    </w:rPr>
  </w:style>
  <w:style w:type="paragraph" w:styleId="ab">
    <w:name w:val="Intense Quote"/>
    <w:basedOn w:val="a"/>
    <w:next w:val="a"/>
    <w:link w:val="ac"/>
    <w:uiPriority w:val="30"/>
    <w:qFormat/>
    <w:rsid w:val="00BF6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0AD"/>
    <w:rPr>
      <w:i/>
      <w:iCs/>
      <w:noProof/>
      <w:color w:val="2F5496" w:themeColor="accent1" w:themeShade="BF"/>
    </w:rPr>
  </w:style>
  <w:style w:type="character" w:styleId="ad">
    <w:name w:val="Intense Reference"/>
    <w:basedOn w:val="a0"/>
    <w:uiPriority w:val="32"/>
    <w:qFormat/>
    <w:rsid w:val="00BF60AD"/>
    <w:rPr>
      <w:b/>
      <w:bCs/>
      <w:smallCaps/>
      <w:color w:val="2F5496" w:themeColor="accent1" w:themeShade="BF"/>
      <w:spacing w:val="5"/>
    </w:rPr>
  </w:style>
  <w:style w:type="paragraph" w:styleId="ae">
    <w:name w:val="header"/>
    <w:basedOn w:val="a"/>
    <w:link w:val="af"/>
    <w:qFormat/>
    <w:rsid w:val="00BF60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
    <w:name w:val="页眉 字符"/>
    <w:basedOn w:val="a0"/>
    <w:link w:val="ae"/>
    <w:rsid w:val="00BF60AD"/>
    <w:rPr>
      <w:rFonts w:ascii="Times New Roman" w:eastAsia="t" w:hAnsi="Times New Roman"/>
      <w:sz w:val="18"/>
    </w:rPr>
  </w:style>
  <w:style w:type="paragraph" w:styleId="af0">
    <w:name w:val="Normal (Web)"/>
    <w:basedOn w:val="a"/>
    <w:qFormat/>
    <w:rsid w:val="00BF60AD"/>
    <w:pPr>
      <w:spacing w:beforeAutospacing="1" w:afterAutospacing="1"/>
      <w:jc w:val="left"/>
    </w:pPr>
    <w:rPr>
      <w:rFonts w:cs="Times New Roman"/>
      <w:kern w:val="0"/>
      <w:sz w:val="24"/>
    </w:rPr>
  </w:style>
  <w:style w:type="table" w:styleId="af1">
    <w:name w:val="Table Grid"/>
    <w:basedOn w:val="a1"/>
    <w:uiPriority w:val="39"/>
    <w:qFormat/>
    <w:rsid w:val="00BF60A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BF60AD"/>
    <w:rPr>
      <w:i/>
    </w:rPr>
  </w:style>
  <w:style w:type="table" w:styleId="21">
    <w:name w:val="List Table 2"/>
    <w:basedOn w:val="a1"/>
    <w:uiPriority w:val="47"/>
    <w:rsid w:val="00BF60AD"/>
    <w:rPr>
      <w:rFonts w:ascii="Times New Roman" w:eastAsia="宋体" w:hAnsi="Times New Roman" w:cs="Times New Roman"/>
      <w:kern w:val="0"/>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4174</Words>
  <Characters>23794</Characters>
  <Application>Microsoft Office Word</Application>
  <DocSecurity>0</DocSecurity>
  <Lines>198</Lines>
  <Paragraphs>55</Paragraphs>
  <ScaleCrop>false</ScaleCrop>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QINYAO</dc:creator>
  <cp:keywords/>
  <dc:description/>
  <cp:lastModifiedBy>QINYAO</cp:lastModifiedBy>
  <cp:revision>1</cp:revision>
  <dcterms:created xsi:type="dcterms:W3CDTF">2026-04-09T03:09:00Z</dcterms:created>
  <dcterms:modified xsi:type="dcterms:W3CDTF">2026-04-09T03:11:00Z</dcterms:modified>
</cp:coreProperties>
</file>