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E1C96" w14:textId="662CC44C" w:rsidR="00802054" w:rsidRPr="009F1C27" w:rsidRDefault="00396F1F" w:rsidP="009F1C27">
      <w:pPr>
        <w:jc w:val="center"/>
        <w:rPr>
          <w:rFonts w:cs="Times New Roman"/>
          <w:b/>
          <w:bCs/>
          <w:color w:val="000000" w:themeColor="text1"/>
          <w:szCs w:val="24"/>
          <w:lang w:eastAsia="zh-CN"/>
        </w:rPr>
      </w:pPr>
      <w:r w:rsidRPr="009F1C27">
        <w:rPr>
          <w:rFonts w:cs="Times New Roman"/>
          <w:b/>
          <w:bCs/>
          <w:color w:val="000000" w:themeColor="text1"/>
          <w:szCs w:val="24"/>
        </w:rPr>
        <w:t>Toward a Multi-Level Architecture for AI Governance: Synthesizing Systematic AI Governance Literature and International Governance Pathways for Advancing A</w:t>
      </w:r>
      <w:r w:rsidRPr="009F1C27">
        <w:rPr>
          <w:rFonts w:cs="Times New Roman"/>
          <w:b/>
          <w:bCs/>
          <w:color w:val="000000" w:themeColor="text1"/>
          <w:szCs w:val="24"/>
          <w:lang w:eastAsia="zh-CN"/>
        </w:rPr>
        <w:t>I</w:t>
      </w:r>
    </w:p>
    <w:p w14:paraId="7CE262B5" w14:textId="1F74E940" w:rsidR="00EA0186" w:rsidRPr="009F1C27" w:rsidRDefault="00EA0186" w:rsidP="009F1C27">
      <w:pPr>
        <w:jc w:val="center"/>
        <w:rPr>
          <w:rFonts w:cs="Times New Roman"/>
          <w:b/>
          <w:bCs/>
          <w:color w:val="000000" w:themeColor="text1"/>
          <w:szCs w:val="24"/>
          <w:lang w:eastAsia="zh-CN"/>
        </w:rPr>
      </w:pPr>
      <w:r w:rsidRPr="009F1C27">
        <w:rPr>
          <w:rFonts w:cs="Times New Roman"/>
          <w:b/>
          <w:bCs/>
          <w:color w:val="000000" w:themeColor="text1"/>
          <w:szCs w:val="24"/>
          <w:lang w:eastAsia="zh-CN"/>
        </w:rPr>
        <w:t>Wang Jing</w:t>
      </w:r>
    </w:p>
    <w:p w14:paraId="1B6F3FD9" w14:textId="395AC404" w:rsidR="00EA0186" w:rsidRPr="009F1C27" w:rsidRDefault="00EA0186" w:rsidP="009F1C27">
      <w:pPr>
        <w:jc w:val="center"/>
        <w:rPr>
          <w:rFonts w:cs="Times New Roman"/>
          <w:b/>
          <w:bCs/>
          <w:color w:val="000000" w:themeColor="text1"/>
          <w:szCs w:val="24"/>
          <w:lang w:eastAsia="zh-CN"/>
        </w:rPr>
      </w:pPr>
      <w:r w:rsidRPr="009F1C27">
        <w:rPr>
          <w:rFonts w:cs="Times New Roman"/>
          <w:b/>
          <w:bCs/>
          <w:color w:val="000000" w:themeColor="text1"/>
          <w:szCs w:val="24"/>
          <w:lang w:eastAsia="zh-CN"/>
        </w:rPr>
        <w:t>Handan University</w:t>
      </w:r>
    </w:p>
    <w:p w14:paraId="3119870E" w14:textId="585022B8" w:rsidR="00EA0186" w:rsidRPr="009F1C27" w:rsidRDefault="00EA0186" w:rsidP="009F1C27">
      <w:pPr>
        <w:jc w:val="center"/>
        <w:rPr>
          <w:rFonts w:cs="Times New Roman"/>
          <w:b/>
          <w:bCs/>
          <w:color w:val="000000" w:themeColor="text1"/>
          <w:szCs w:val="24"/>
        </w:rPr>
      </w:pPr>
      <w:r w:rsidRPr="009F1C27">
        <w:rPr>
          <w:rFonts w:cs="Times New Roman"/>
          <w:b/>
          <w:bCs/>
          <w:color w:val="000000" w:themeColor="text1"/>
          <w:szCs w:val="24"/>
          <w:lang w:eastAsia="zh-CN"/>
        </w:rPr>
        <w:t>775133556@qq.com</w:t>
      </w:r>
    </w:p>
    <w:p w14:paraId="360B95E9" w14:textId="77777777" w:rsidR="00802054" w:rsidRPr="009F1C27" w:rsidRDefault="00000000" w:rsidP="009F1C27">
      <w:pPr>
        <w:jc w:val="both"/>
        <w:rPr>
          <w:rFonts w:cs="Times New Roman"/>
          <w:color w:val="000000" w:themeColor="text1"/>
          <w:szCs w:val="24"/>
        </w:rPr>
      </w:pPr>
      <w:r w:rsidRPr="009F1C27">
        <w:rPr>
          <w:rFonts w:cs="Times New Roman"/>
          <w:b/>
          <w:color w:val="000000" w:themeColor="text1"/>
          <w:szCs w:val="24"/>
        </w:rPr>
        <w:t>Abstract</w:t>
      </w:r>
    </w:p>
    <w:p w14:paraId="7582E94D" w14:textId="77777777" w:rsidR="00802054" w:rsidRPr="009F1C27" w:rsidRDefault="00000000" w:rsidP="009F1C27">
      <w:pPr>
        <w:ind w:firstLine="720"/>
        <w:jc w:val="both"/>
        <w:rPr>
          <w:rFonts w:cs="Times New Roman"/>
          <w:color w:val="000000" w:themeColor="text1"/>
          <w:szCs w:val="24"/>
        </w:rPr>
      </w:pPr>
      <w:r w:rsidRPr="009F1C27">
        <w:rPr>
          <w:rFonts w:cs="Times New Roman"/>
          <w:color w:val="000000" w:themeColor="text1"/>
          <w:szCs w:val="24"/>
        </w:rPr>
        <w:t xml:space="preserve">Artificial intelligence governance is increasingly shaped by two partially disconnected conversations: one focused on responsible AI practices, standards, and governance frameworks across organizational settings, and another focused on the international governance of advanced or transformative AI under conditions of geopolitical competition. This paper synthesizes two recent publications representing these strands. The first is a systematic literature review of AI governance that analyzes 28 studies and organizes governance artifacts across team, organization, industry, national, and international levels. The second develops a taxonomy of international governance options for advancing artificial intelligence, emphasizing governance by different actors and intervention at the stages of development, proliferation, and deployment. Read together, these works suggest that effective AI governance must be conceived as a multi-level, stage-sensitive architecture. This paper argues that AI governance should combine responsible AI mechanisms at lower levels with stronger national and international controls for high-risk, dual-use, and transformative AI. The paper clarifies the complementarity of the two source publications, builds an integrated framework around the questions of who governs, what is governed, when governance intervenes, and how governance is implemented, and develops a research and policy agenda focused on governance alignment, chokepoints, competitive </w:t>
      </w:r>
      <w:r w:rsidRPr="009F1C27">
        <w:rPr>
          <w:rFonts w:cs="Times New Roman"/>
          <w:color w:val="000000" w:themeColor="text1"/>
          <w:szCs w:val="24"/>
        </w:rPr>
        <w:lastRenderedPageBreak/>
        <w:t>dynamics, and international coordination. The central conclusion is that no single governance mechanism can handle the full AI governance problem. Durable governance will require coordination among organizations, standards bodies, states, and international institutions, with governance intensity increasing as capabilities, risks, and strategic externalities grow.</w:t>
      </w:r>
    </w:p>
    <w:p w14:paraId="0657D72E" w14:textId="7497EF54" w:rsidR="00802054" w:rsidRPr="009F1C27" w:rsidRDefault="00000000" w:rsidP="009F1C27">
      <w:pPr>
        <w:ind w:firstLine="720"/>
        <w:jc w:val="both"/>
        <w:rPr>
          <w:rFonts w:cs="Times New Roman"/>
          <w:color w:val="000000" w:themeColor="text1"/>
          <w:szCs w:val="24"/>
        </w:rPr>
      </w:pPr>
      <w:r w:rsidRPr="009F1C27">
        <w:rPr>
          <w:rFonts w:cs="Times New Roman"/>
          <w:i/>
          <w:color w:val="000000" w:themeColor="text1"/>
          <w:szCs w:val="24"/>
        </w:rPr>
        <w:t xml:space="preserve">Keywords: </w:t>
      </w:r>
      <w:r w:rsidRPr="009F1C27">
        <w:rPr>
          <w:rFonts w:cs="Times New Roman"/>
          <w:color w:val="000000" w:themeColor="text1"/>
          <w:szCs w:val="24"/>
        </w:rPr>
        <w:t>AI governance; responsible AI; international governance; transformative AI; risk; standards</w:t>
      </w:r>
    </w:p>
    <w:p w14:paraId="72E6A3D3" w14:textId="77777777" w:rsidR="00802054" w:rsidRPr="009F1C27" w:rsidRDefault="00000000" w:rsidP="009F1C27">
      <w:pPr>
        <w:pStyle w:val="1"/>
        <w:jc w:val="both"/>
        <w:rPr>
          <w:rFonts w:ascii="Times New Roman" w:hAnsi="Times New Roman" w:cs="Times New Roman"/>
          <w:color w:val="000000" w:themeColor="text1"/>
          <w:sz w:val="24"/>
          <w:szCs w:val="24"/>
        </w:rPr>
      </w:pPr>
      <w:r w:rsidRPr="009F1C27">
        <w:rPr>
          <w:rFonts w:ascii="Times New Roman" w:hAnsi="Times New Roman" w:cs="Times New Roman"/>
          <w:color w:val="000000" w:themeColor="text1"/>
          <w:sz w:val="24"/>
          <w:szCs w:val="24"/>
        </w:rPr>
        <w:t>1. Introduction</w:t>
      </w:r>
    </w:p>
    <w:p w14:paraId="1527C4A0" w14:textId="77777777" w:rsidR="00802054" w:rsidRPr="009F1C27" w:rsidRDefault="00000000" w:rsidP="009F1C27">
      <w:pPr>
        <w:ind w:firstLine="720"/>
        <w:jc w:val="both"/>
        <w:rPr>
          <w:rFonts w:cs="Times New Roman"/>
          <w:color w:val="000000" w:themeColor="text1"/>
          <w:szCs w:val="24"/>
        </w:rPr>
      </w:pPr>
      <w:r w:rsidRPr="009F1C27">
        <w:rPr>
          <w:rFonts w:cs="Times New Roman"/>
          <w:color w:val="000000" w:themeColor="text1"/>
          <w:szCs w:val="24"/>
        </w:rPr>
        <w:t>Artificial intelligence governance has become one of the defining policy challenges of the present era. On one side, AI is embedded in ordinary organizational settings: firms build AI systems, public agencies procure them, and sectoral actors attempt to integrate ethical principles such as fairness, transparency, accountability, and human oversight into day-to-day practice (Batool et al., 2025; Jobin et al., 2019; Lu et al., 2022). On the other side, frontier AI increasingly appears as a strategic technology whose consequences may extend beyond ordinary organizational harms into military competition, cyber offense, disinformation, concentration of power, and systemic instability (Brundage et al., 2018; Emery-Xu et al., 2025; Horowitz, 2018, 2020). The challenge is that governance debates often separate these two domains when they should be analyzed together.</w:t>
      </w:r>
    </w:p>
    <w:p w14:paraId="31AEE20D" w14:textId="77777777" w:rsidR="00802054" w:rsidRPr="009F1C27" w:rsidRDefault="00000000" w:rsidP="009F1C27">
      <w:pPr>
        <w:ind w:firstLine="720"/>
        <w:jc w:val="both"/>
        <w:rPr>
          <w:rFonts w:cs="Times New Roman"/>
          <w:color w:val="000000" w:themeColor="text1"/>
          <w:szCs w:val="24"/>
        </w:rPr>
      </w:pPr>
      <w:r w:rsidRPr="009F1C27">
        <w:rPr>
          <w:rFonts w:cs="Times New Roman"/>
          <w:color w:val="000000" w:themeColor="text1"/>
          <w:szCs w:val="24"/>
        </w:rPr>
        <w:t xml:space="preserve">A large segment of the AI governance literature has focused on the internal governance of AI systems and the broader ecosystem of frameworks, tools, and policies designed to guide responsible AI. Batool et al. (2025), in their systematic literature review, show that this landscape is already extensive and heterogeneous. Governance solutions are distributed across team, organization, industry, national, and international levels, and stakeholders are often confronted with a confusing variety of principles, guidelines, models, and frameworks. The field </w:t>
      </w:r>
      <w:r w:rsidRPr="009F1C27">
        <w:rPr>
          <w:rFonts w:cs="Times New Roman"/>
          <w:color w:val="000000" w:themeColor="text1"/>
          <w:szCs w:val="24"/>
        </w:rPr>
        <w:lastRenderedPageBreak/>
        <w:t>includes ethics guidelines (Jobin et al., 2019), organizational governance models (Mäntymäki et al., 2022), integrated frameworks for public administration (Wirtz et al., 2020), subnational policy dynamics (Liebig et al., 2022), and sector-specific governance approaches in domains such as health, energy, media, and higher education (Pierson et al., 2023; Stogiannos et al., 2023; Abbas et al., 2023).</w:t>
      </w:r>
    </w:p>
    <w:p w14:paraId="1D22E1D8" w14:textId="77777777" w:rsidR="00802054" w:rsidRPr="009F1C27" w:rsidRDefault="00000000" w:rsidP="009F1C27">
      <w:pPr>
        <w:ind w:firstLine="720"/>
        <w:jc w:val="both"/>
        <w:rPr>
          <w:rFonts w:cs="Times New Roman"/>
          <w:color w:val="000000" w:themeColor="text1"/>
          <w:szCs w:val="24"/>
        </w:rPr>
      </w:pPr>
      <w:r w:rsidRPr="009F1C27">
        <w:rPr>
          <w:rFonts w:cs="Times New Roman"/>
          <w:color w:val="000000" w:themeColor="text1"/>
          <w:szCs w:val="24"/>
        </w:rPr>
        <w:t>At the same time, a second stream of research argues that these lower-level or softer forms of governance may become insufficient for advanced AI. Emery-Xu et al. (2025) treat AI not only as a general-purpose technology but as a potentially transformative one with substantial dual-use properties. In their analysis, governance must be differentiated not only by who governs—subnational, national, or international actors—but also by when governance intervenes: at development, proliferation, or deployment. This distinction matters because the efficacy of governance depends on incentive structures, technical chokepoints, and the strategic environment. In race-to-the-bottom settings, subnational governance may mitigate some risks but fail to constrain the actors most willing to take dangerous shortcuts. Likewise, nationally enforced standards may be effective for deployment but less effective where cross-border competition or proliferation pressures dominate.</w:t>
      </w:r>
    </w:p>
    <w:p w14:paraId="5E3EDC21" w14:textId="77777777" w:rsidR="00802054" w:rsidRPr="009F1C27" w:rsidRDefault="00000000" w:rsidP="009F1C27">
      <w:pPr>
        <w:ind w:firstLine="720"/>
        <w:jc w:val="both"/>
        <w:rPr>
          <w:rFonts w:cs="Times New Roman"/>
          <w:color w:val="000000" w:themeColor="text1"/>
          <w:szCs w:val="24"/>
        </w:rPr>
      </w:pPr>
      <w:r w:rsidRPr="009F1C27">
        <w:rPr>
          <w:rFonts w:cs="Times New Roman"/>
          <w:color w:val="000000" w:themeColor="text1"/>
          <w:szCs w:val="24"/>
        </w:rPr>
        <w:t>These two strands of research need to be connected. Responsible AI governance without strategic governance leaves high-end risks under-addressed. Strategic governance without organizational and standards-based governance overlooks the practical institutions through which AI is currently built, managed, and deployed. The goal of this paper is therefore to synthesize these two literatures through two source publications: Batool et al. (2025) and Emery-Xu et al. (2025). The argument advanced here is that AI governance should be understood as a multi-level, stage-sensitive architecture in which governance must be aligned across levels and strengthened as risks become more systemic, dual-use, and geopolitically salient.</w:t>
      </w:r>
    </w:p>
    <w:p w14:paraId="2C8FD4D3" w14:textId="77777777" w:rsidR="00802054" w:rsidRPr="009F1C27" w:rsidRDefault="00000000" w:rsidP="009F1C27">
      <w:pPr>
        <w:ind w:firstLine="720"/>
        <w:jc w:val="both"/>
        <w:rPr>
          <w:rFonts w:cs="Times New Roman"/>
          <w:color w:val="000000" w:themeColor="text1"/>
          <w:szCs w:val="24"/>
        </w:rPr>
      </w:pPr>
      <w:r w:rsidRPr="009F1C27">
        <w:rPr>
          <w:rFonts w:cs="Times New Roman"/>
          <w:color w:val="000000" w:themeColor="text1"/>
          <w:szCs w:val="24"/>
        </w:rPr>
        <w:lastRenderedPageBreak/>
        <w:t>The paper proceeds in four steps. First, it explains why the two source papers are complementary and why synthesis is theoretically useful. Second, it organizes the synthesis around four core governance questions: who governs, what is governed, when governance occurs, and how governance is implemented. Third, it develops an integrated architecture for AI governance that links responsible AI practices to national and international governance of advanced AI. Fourth, it derives implications for research and policy, including the importance of chokepoints, standards, race dynamics, and international institutional innovation. The central conclusion is that AI governance must be built as an architecture rather than treated as a collection of isolated ethics principles or as a purely geopolitical problem.</w:t>
      </w:r>
    </w:p>
    <w:p w14:paraId="24E47FA4" w14:textId="77777777" w:rsidR="00802054" w:rsidRPr="009F1C27" w:rsidRDefault="00000000" w:rsidP="009F1C27">
      <w:pPr>
        <w:pStyle w:val="1"/>
        <w:jc w:val="both"/>
        <w:rPr>
          <w:rFonts w:ascii="Times New Roman" w:hAnsi="Times New Roman" w:cs="Times New Roman"/>
          <w:color w:val="000000" w:themeColor="text1"/>
          <w:sz w:val="24"/>
          <w:szCs w:val="24"/>
        </w:rPr>
      </w:pPr>
      <w:r w:rsidRPr="009F1C27">
        <w:rPr>
          <w:rFonts w:ascii="Times New Roman" w:hAnsi="Times New Roman" w:cs="Times New Roman"/>
          <w:color w:val="000000" w:themeColor="text1"/>
          <w:sz w:val="24"/>
          <w:szCs w:val="24"/>
        </w:rPr>
        <w:t>2. The Two Source Publications and Why They Belong Together</w:t>
      </w:r>
    </w:p>
    <w:p w14:paraId="6D017A03" w14:textId="77777777" w:rsidR="00802054" w:rsidRPr="009F1C27" w:rsidRDefault="00000000" w:rsidP="009F1C27">
      <w:pPr>
        <w:ind w:firstLine="720"/>
        <w:jc w:val="both"/>
        <w:rPr>
          <w:rFonts w:cs="Times New Roman"/>
          <w:color w:val="000000" w:themeColor="text1"/>
          <w:szCs w:val="24"/>
        </w:rPr>
      </w:pPr>
      <w:r w:rsidRPr="009F1C27">
        <w:rPr>
          <w:rFonts w:cs="Times New Roman"/>
          <w:color w:val="000000" w:themeColor="text1"/>
          <w:szCs w:val="24"/>
        </w:rPr>
        <w:t>Batool et al. (2025) address a practical yet foundational problem: AI stakeholders often struggle to understand the growing landscape of governance frameworks, tools, models, and policies. By conducting a systematic literature review of 28 studies, they provide a structured map of AI governance using four questions: who is governing, what is being governed, when governance occurs in the AI development life cycle, and how governance is implemented. Their review is especially useful because it categorizes AI governance artifacts across five levels—team, organization, industry, national, and international—thereby showing that AI governance is already distributed across multiple institutional layers.</w:t>
      </w:r>
    </w:p>
    <w:p w14:paraId="6CB2B135" w14:textId="77777777" w:rsidR="00802054" w:rsidRPr="009F1C27" w:rsidRDefault="00000000" w:rsidP="009F1C27">
      <w:pPr>
        <w:ind w:firstLine="720"/>
        <w:jc w:val="both"/>
        <w:rPr>
          <w:rFonts w:cs="Times New Roman"/>
          <w:color w:val="000000" w:themeColor="text1"/>
          <w:szCs w:val="24"/>
        </w:rPr>
      </w:pPr>
      <w:r w:rsidRPr="009F1C27">
        <w:rPr>
          <w:rFonts w:cs="Times New Roman"/>
          <w:color w:val="000000" w:themeColor="text1"/>
          <w:szCs w:val="24"/>
        </w:rPr>
        <w:t xml:space="preserve">Emery-Xu et al. (2025) ask a different question: how should the international community govern advancing AI, especially where it may have transformative and military implications? Their answer is shaped by international relations theory, arms control analogies, and technological analysis. They argue that governance choices must be understood by both who governs and when governance intervenes. They also classify risks as accidental, misuse-based, or </w:t>
      </w:r>
      <w:r w:rsidRPr="009F1C27">
        <w:rPr>
          <w:rFonts w:cs="Times New Roman"/>
          <w:color w:val="000000" w:themeColor="text1"/>
          <w:szCs w:val="24"/>
        </w:rPr>
        <w:lastRenderedPageBreak/>
        <w:t>structural, and they examine the strategic feasibility of four broad international options: a non-proliferation plus norms-of-use regime, intrusive monitoring or verification-backed restrictions, international monopoly, and de facto hegemony. Their argument is skeptical of the sufficiency of soft governance when strong competitive incentives exist.</w:t>
      </w:r>
    </w:p>
    <w:p w14:paraId="1E4542A8" w14:textId="77777777" w:rsidR="00802054" w:rsidRPr="009F1C27" w:rsidRDefault="00000000" w:rsidP="009F1C27">
      <w:pPr>
        <w:ind w:firstLine="720"/>
        <w:jc w:val="both"/>
        <w:rPr>
          <w:rFonts w:cs="Times New Roman"/>
          <w:color w:val="000000" w:themeColor="text1"/>
          <w:szCs w:val="24"/>
        </w:rPr>
      </w:pPr>
      <w:r w:rsidRPr="009F1C27">
        <w:rPr>
          <w:rFonts w:cs="Times New Roman"/>
          <w:color w:val="000000" w:themeColor="text1"/>
          <w:szCs w:val="24"/>
        </w:rPr>
        <w:t>The two papers belong together because each addresses what the other leaves open. Batool et al. (2025) show the breadth of AI governance, but not all governance levels are equally capable of addressing frontier risks. Emery-Xu et al. (2025) show the strategic demands of frontier governance, but not the broader ecosystem of governance practices already operating below the international level. The first provides breadth and mapping; the second provides depth and strategic theory. Together, they allow us to see AI governance as both an institutional landscape and an escalating strategic problem.</w:t>
      </w:r>
    </w:p>
    <w:p w14:paraId="621AD902" w14:textId="77777777" w:rsidR="00802054" w:rsidRPr="009F1C27" w:rsidRDefault="00000000" w:rsidP="009F1C27">
      <w:pPr>
        <w:ind w:firstLine="720"/>
        <w:jc w:val="both"/>
        <w:rPr>
          <w:rFonts w:cs="Times New Roman"/>
          <w:color w:val="000000" w:themeColor="text1"/>
          <w:szCs w:val="24"/>
        </w:rPr>
      </w:pPr>
      <w:r w:rsidRPr="009F1C27">
        <w:rPr>
          <w:rFonts w:cs="Times New Roman"/>
          <w:color w:val="000000" w:themeColor="text1"/>
          <w:szCs w:val="24"/>
        </w:rPr>
        <w:t>A second reason they belong together is that both adopt an architectural view. Batool et al. do so explicitly through governance levels and 4W1H questions. Emery-Xu et al. do so implicitly through their typology of governance forms and stages. Neither article assumes that a single mechanism can do all the governance work. This is crucial because AI governance has too often been framed in terms of silver bullets: a single law, a single ethics charter, a single standards framework, or a single treaty. Both articles reject that simplification.</w:t>
      </w:r>
    </w:p>
    <w:p w14:paraId="3B04017C" w14:textId="77777777" w:rsidR="00802054" w:rsidRPr="009F1C27" w:rsidRDefault="00000000" w:rsidP="009F1C27">
      <w:pPr>
        <w:ind w:firstLine="720"/>
        <w:jc w:val="both"/>
        <w:rPr>
          <w:rFonts w:cs="Times New Roman"/>
          <w:color w:val="000000" w:themeColor="text1"/>
          <w:szCs w:val="24"/>
        </w:rPr>
      </w:pPr>
      <w:r w:rsidRPr="009F1C27">
        <w:rPr>
          <w:rFonts w:cs="Times New Roman"/>
          <w:color w:val="000000" w:themeColor="text1"/>
          <w:szCs w:val="24"/>
        </w:rPr>
        <w:t>A third reason is that both are centrally concerned with implementation rather than aspiration. Batool et al. (2025) emphasize frameworks, tools, and governance solutions rather than abstract ethical discourse alone. Emery-Xu et al. (2025) stress incentives, monitoring, and strategic feasibility rather than abstract calls for global cooperation. Their shared focus on implementation makes the synthesis more than a conceptual exercise. It supports a practical governance argument.</w:t>
      </w:r>
    </w:p>
    <w:p w14:paraId="23B9D122" w14:textId="77777777" w:rsidR="00802054" w:rsidRPr="009F1C27" w:rsidRDefault="00000000" w:rsidP="009F1C27">
      <w:pPr>
        <w:pStyle w:val="1"/>
        <w:jc w:val="both"/>
        <w:rPr>
          <w:rFonts w:ascii="Times New Roman" w:hAnsi="Times New Roman" w:cs="Times New Roman"/>
          <w:color w:val="000000" w:themeColor="text1"/>
          <w:sz w:val="24"/>
          <w:szCs w:val="24"/>
        </w:rPr>
      </w:pPr>
      <w:r w:rsidRPr="009F1C27">
        <w:rPr>
          <w:rFonts w:ascii="Times New Roman" w:hAnsi="Times New Roman" w:cs="Times New Roman"/>
          <w:color w:val="000000" w:themeColor="text1"/>
          <w:sz w:val="24"/>
          <w:szCs w:val="24"/>
        </w:rPr>
        <w:lastRenderedPageBreak/>
        <w:t>3. The Four Foundational Questions: Who, What, When, and How</w:t>
      </w:r>
    </w:p>
    <w:p w14:paraId="2A98CC16" w14:textId="77777777" w:rsidR="00802054" w:rsidRPr="009F1C27" w:rsidRDefault="00000000" w:rsidP="009F1C27">
      <w:pPr>
        <w:ind w:firstLine="720"/>
        <w:jc w:val="both"/>
        <w:rPr>
          <w:rFonts w:cs="Times New Roman"/>
          <w:color w:val="000000" w:themeColor="text1"/>
          <w:szCs w:val="24"/>
        </w:rPr>
      </w:pPr>
      <w:r w:rsidRPr="009F1C27">
        <w:rPr>
          <w:rFonts w:cs="Times New Roman"/>
          <w:color w:val="000000" w:themeColor="text1"/>
          <w:szCs w:val="24"/>
        </w:rPr>
        <w:t>The most productive bridge between the two source papers is the set of questions around who governs, what is governed, when governance occurs, and how governance is implemented. Batool et al. (2025) explicitly organize their review around these questions. Emery-Xu et al. (2025) use different vocabulary but analyze the same structure. The synthesis therefore begins by treating these questions as the grammar of AI governance.</w:t>
      </w:r>
    </w:p>
    <w:p w14:paraId="42DA2D73" w14:textId="77777777" w:rsidR="00802054" w:rsidRPr="009F1C27" w:rsidRDefault="00000000" w:rsidP="009F1C27">
      <w:pPr>
        <w:pStyle w:val="1"/>
        <w:jc w:val="both"/>
        <w:rPr>
          <w:rFonts w:ascii="Times New Roman" w:hAnsi="Times New Roman" w:cs="Times New Roman"/>
          <w:color w:val="000000" w:themeColor="text1"/>
          <w:sz w:val="24"/>
          <w:szCs w:val="24"/>
        </w:rPr>
      </w:pPr>
      <w:r w:rsidRPr="009F1C27">
        <w:rPr>
          <w:rFonts w:ascii="Times New Roman" w:hAnsi="Times New Roman" w:cs="Times New Roman"/>
          <w:color w:val="000000" w:themeColor="text1"/>
          <w:sz w:val="24"/>
          <w:szCs w:val="24"/>
        </w:rPr>
        <w:t>3.1 Who governs?</w:t>
      </w:r>
    </w:p>
    <w:p w14:paraId="470E7D3A" w14:textId="77777777" w:rsidR="00802054" w:rsidRPr="009F1C27" w:rsidRDefault="00000000" w:rsidP="009F1C27">
      <w:pPr>
        <w:ind w:firstLine="720"/>
        <w:jc w:val="both"/>
        <w:rPr>
          <w:rFonts w:cs="Times New Roman"/>
          <w:color w:val="000000" w:themeColor="text1"/>
          <w:szCs w:val="24"/>
        </w:rPr>
      </w:pPr>
      <w:r w:rsidRPr="009F1C27">
        <w:rPr>
          <w:rFonts w:cs="Times New Roman"/>
          <w:color w:val="000000" w:themeColor="text1"/>
          <w:szCs w:val="24"/>
        </w:rPr>
        <w:t>Batool et al. (2025) show that AI governance involves multiple stakeholders distributed across five levels: teams, organizations, industries, nations, and international institutions. This multi-level view is reinforced by related studies in their bibliography, including analyses of subnational AI policy (Liebig et al., 2022), organizational AI governance (Mäntymäki et al., 2022), and ethical governance ecosystems (Knight et al., 2024). The implication is that governance cannot be monopolized by any single actor class.</w:t>
      </w:r>
    </w:p>
    <w:p w14:paraId="11E6FBDB" w14:textId="77777777" w:rsidR="00802054" w:rsidRPr="009F1C27" w:rsidRDefault="00000000" w:rsidP="009F1C27">
      <w:pPr>
        <w:ind w:firstLine="720"/>
        <w:jc w:val="both"/>
        <w:rPr>
          <w:rFonts w:cs="Times New Roman"/>
          <w:color w:val="000000" w:themeColor="text1"/>
          <w:szCs w:val="24"/>
        </w:rPr>
      </w:pPr>
      <w:r w:rsidRPr="009F1C27">
        <w:rPr>
          <w:rFonts w:cs="Times New Roman"/>
          <w:color w:val="000000" w:themeColor="text1"/>
          <w:szCs w:val="24"/>
        </w:rPr>
        <w:t>Emery-Xu et al. (2025) simplify the question into subnational, national, and international governance. This emphasis is useful because it highlights escalation. Subnational governance includes firms, professional communities, and other non-state actors. National governance includes public standards and state-backed enforcement. International governance includes multilateral arrangements among states and possibly other global institutional forms. The key contribution of their framework is not that it denies lower-level governance, but that it shows when lower-level governance becomes insufficient.</w:t>
      </w:r>
    </w:p>
    <w:p w14:paraId="6558B59B" w14:textId="77777777" w:rsidR="00802054" w:rsidRPr="009F1C27" w:rsidRDefault="00000000" w:rsidP="009F1C27">
      <w:pPr>
        <w:ind w:firstLine="720"/>
        <w:jc w:val="both"/>
        <w:rPr>
          <w:rFonts w:cs="Times New Roman"/>
          <w:color w:val="000000" w:themeColor="text1"/>
          <w:szCs w:val="24"/>
        </w:rPr>
      </w:pPr>
      <w:r w:rsidRPr="009F1C27">
        <w:rPr>
          <w:rFonts w:cs="Times New Roman"/>
          <w:color w:val="000000" w:themeColor="text1"/>
          <w:szCs w:val="24"/>
        </w:rPr>
        <w:t xml:space="preserve">This perspective aligns with older governance literature beyond AI. Keohane (1984) argued that cooperation after hegemony depends on institutions, but institutions take many forms and are shaped by incentives. Axelrod (1984) likewise emphasized how cooperation depends on </w:t>
      </w:r>
      <w:r w:rsidRPr="009F1C27">
        <w:rPr>
          <w:rFonts w:cs="Times New Roman"/>
          <w:color w:val="000000" w:themeColor="text1"/>
          <w:szCs w:val="24"/>
        </w:rPr>
        <w:lastRenderedPageBreak/>
        <w:t>repeated interaction and institutionalized expectations. Applied to AI governance, these insights suggest that the who of governance matters because different actors have different capacities, incentives, and legitimacy.</w:t>
      </w:r>
    </w:p>
    <w:p w14:paraId="173BEC3A" w14:textId="77777777" w:rsidR="00802054" w:rsidRPr="009F1C27" w:rsidRDefault="00000000" w:rsidP="009F1C27">
      <w:pPr>
        <w:pStyle w:val="1"/>
        <w:jc w:val="both"/>
        <w:rPr>
          <w:rFonts w:ascii="Times New Roman" w:hAnsi="Times New Roman" w:cs="Times New Roman"/>
          <w:color w:val="000000" w:themeColor="text1"/>
          <w:sz w:val="24"/>
          <w:szCs w:val="24"/>
        </w:rPr>
      </w:pPr>
      <w:r w:rsidRPr="009F1C27">
        <w:rPr>
          <w:rFonts w:ascii="Times New Roman" w:hAnsi="Times New Roman" w:cs="Times New Roman"/>
          <w:color w:val="000000" w:themeColor="text1"/>
          <w:sz w:val="24"/>
          <w:szCs w:val="24"/>
        </w:rPr>
        <w:t>3.2 What is governed?</w:t>
      </w:r>
    </w:p>
    <w:p w14:paraId="70E23CA4" w14:textId="77777777" w:rsidR="00802054" w:rsidRPr="009F1C27" w:rsidRDefault="00000000" w:rsidP="009F1C27">
      <w:pPr>
        <w:ind w:firstLine="720"/>
        <w:jc w:val="both"/>
        <w:rPr>
          <w:rFonts w:cs="Times New Roman"/>
          <w:color w:val="000000" w:themeColor="text1"/>
          <w:szCs w:val="24"/>
        </w:rPr>
      </w:pPr>
      <w:r w:rsidRPr="009F1C27">
        <w:rPr>
          <w:rFonts w:cs="Times New Roman"/>
          <w:color w:val="000000" w:themeColor="text1"/>
          <w:szCs w:val="24"/>
        </w:rPr>
        <w:t>In the responsible AI literature, the answer often includes data, models, systems, principles, organizational processes, and deployment outcomes. Batool et al. (2025) synthesize studies concerned with fairness, transparency, accountability, inclusivity, rights protection, governance models, and sectoral implementation. Frameworks such as responsible AI pattern catalogues (Lu et al., 2022) or broad ethics guideline reviews (Jobin et al., 2019; Corrêa et al., 2023) focus on governing behavior, design, and decision-making processes around AI systems.</w:t>
      </w:r>
    </w:p>
    <w:p w14:paraId="323D5C09" w14:textId="77777777" w:rsidR="00802054" w:rsidRPr="009F1C27" w:rsidRDefault="00000000" w:rsidP="009F1C27">
      <w:pPr>
        <w:ind w:firstLine="720"/>
        <w:jc w:val="both"/>
        <w:rPr>
          <w:rFonts w:cs="Times New Roman"/>
          <w:color w:val="000000" w:themeColor="text1"/>
          <w:szCs w:val="24"/>
        </w:rPr>
      </w:pPr>
      <w:r w:rsidRPr="009F1C27">
        <w:rPr>
          <w:rFonts w:cs="Times New Roman"/>
          <w:color w:val="000000" w:themeColor="text1"/>
          <w:szCs w:val="24"/>
        </w:rPr>
        <w:t>Emery-Xu et al. (2025) widen the scope considerably. For them, the object of governance includes not only deployment outcomes but also AI development processes, proliferation pathways, computing infrastructure, and the strategic consequences of technological diffusion. Buchanan (2020) calls attention to the AI triad—compute, data, and algorithms—as central to national security strategy. Khan and Mann (2020) similarly show why AI chips matter as governance-relevant infrastructure. This is a move from governing applications to governing capability formation itself.</w:t>
      </w:r>
    </w:p>
    <w:p w14:paraId="770093DE" w14:textId="77777777" w:rsidR="00802054" w:rsidRPr="009F1C27" w:rsidRDefault="00000000" w:rsidP="009F1C27">
      <w:pPr>
        <w:ind w:firstLine="720"/>
        <w:jc w:val="both"/>
        <w:rPr>
          <w:rFonts w:cs="Times New Roman"/>
          <w:color w:val="000000" w:themeColor="text1"/>
          <w:szCs w:val="24"/>
        </w:rPr>
      </w:pPr>
      <w:r w:rsidRPr="009F1C27">
        <w:rPr>
          <w:rFonts w:cs="Times New Roman"/>
          <w:color w:val="000000" w:themeColor="text1"/>
          <w:szCs w:val="24"/>
        </w:rPr>
        <w:t>This distinction is essential. Much current AI governance is aimed at deployed systems: ensuring that outputs are less biased, that decision systems are explainable, or that procurement and auditing procedures are improved. Those are necessary goals. But if powerful AI systems can create structural risks or geopolitical instability, then what must be governed includes capabilities, scaling pathways, and strategic access—not merely end-use behavior.</w:t>
      </w:r>
    </w:p>
    <w:p w14:paraId="6C359A3D" w14:textId="77777777" w:rsidR="00802054" w:rsidRPr="009F1C27" w:rsidRDefault="00000000" w:rsidP="009F1C27">
      <w:pPr>
        <w:pStyle w:val="1"/>
        <w:jc w:val="both"/>
        <w:rPr>
          <w:rFonts w:ascii="Times New Roman" w:hAnsi="Times New Roman" w:cs="Times New Roman"/>
          <w:color w:val="000000" w:themeColor="text1"/>
          <w:sz w:val="24"/>
          <w:szCs w:val="24"/>
        </w:rPr>
      </w:pPr>
      <w:r w:rsidRPr="009F1C27">
        <w:rPr>
          <w:rFonts w:ascii="Times New Roman" w:hAnsi="Times New Roman" w:cs="Times New Roman"/>
          <w:color w:val="000000" w:themeColor="text1"/>
          <w:sz w:val="24"/>
          <w:szCs w:val="24"/>
        </w:rPr>
        <w:lastRenderedPageBreak/>
        <w:t>3.3 When governance occurs</w:t>
      </w:r>
    </w:p>
    <w:p w14:paraId="5F6B1A42" w14:textId="77777777" w:rsidR="00802054" w:rsidRPr="009F1C27" w:rsidRDefault="00000000" w:rsidP="009F1C27">
      <w:pPr>
        <w:ind w:firstLine="720"/>
        <w:jc w:val="both"/>
        <w:rPr>
          <w:rFonts w:cs="Times New Roman"/>
          <w:color w:val="000000" w:themeColor="text1"/>
          <w:szCs w:val="24"/>
        </w:rPr>
      </w:pPr>
      <w:r w:rsidRPr="009F1C27">
        <w:rPr>
          <w:rFonts w:cs="Times New Roman"/>
          <w:color w:val="000000" w:themeColor="text1"/>
          <w:szCs w:val="24"/>
        </w:rPr>
        <w:t>Timing is the axis on which the two source papers most clearly enrich one another. Batool et al. (2025) emphasize governance across the AI development life cycle and note that many studies discuss governance artifacts without sufficient clarity about stage-specific responsibility. Emery-Xu et al. (2025) make timing the centerpiece of their framework. They distinguish governance of development, proliferation, and deployment, showing that different risks are governable at different points.</w:t>
      </w:r>
    </w:p>
    <w:p w14:paraId="2ADB38CF" w14:textId="77777777" w:rsidR="00802054" w:rsidRPr="009F1C27" w:rsidRDefault="00000000" w:rsidP="009F1C27">
      <w:pPr>
        <w:ind w:firstLine="720"/>
        <w:jc w:val="both"/>
        <w:rPr>
          <w:rFonts w:cs="Times New Roman"/>
          <w:color w:val="000000" w:themeColor="text1"/>
          <w:szCs w:val="24"/>
        </w:rPr>
      </w:pPr>
      <w:r w:rsidRPr="009F1C27">
        <w:rPr>
          <w:rFonts w:cs="Times New Roman"/>
          <w:color w:val="000000" w:themeColor="text1"/>
          <w:szCs w:val="24"/>
        </w:rPr>
        <w:t>This timing question recalls the broader technological governance challenge known as the Collingridge dilemma: if policymakers intervene too early, they may regulate a poorly understood technology; if they intervene too late, the technology may already be too entrenched to control effectively (Collingridge, 1980). Emery-Xu et al. (2025) place this dilemma squarely at the center of AI governance. Their argument suggests that if AI risks are severe and structurally embedded, late intervention at deployment will often be insufficient.</w:t>
      </w:r>
    </w:p>
    <w:p w14:paraId="371F2714" w14:textId="77777777" w:rsidR="00802054" w:rsidRPr="009F1C27" w:rsidRDefault="00000000" w:rsidP="009F1C27">
      <w:pPr>
        <w:ind w:firstLine="720"/>
        <w:jc w:val="both"/>
        <w:rPr>
          <w:rFonts w:cs="Times New Roman"/>
          <w:color w:val="000000" w:themeColor="text1"/>
          <w:szCs w:val="24"/>
        </w:rPr>
      </w:pPr>
      <w:r w:rsidRPr="009F1C27">
        <w:rPr>
          <w:rFonts w:cs="Times New Roman"/>
          <w:color w:val="000000" w:themeColor="text1"/>
          <w:szCs w:val="24"/>
        </w:rPr>
        <w:t>The broader literature reinforces this point. Brundage et al. (2018) warn about malicious uses of AI, showing that governance opportunities may need to arise before broad deployment. Armstrong et al. (2016) model racing dynamics in AI development, highlighting how competitive incentives can undermine caution. These concerns imply that development-stage governance is not merely precautionary excess; it may be the only realistic way to manage certain categories of risk.</w:t>
      </w:r>
    </w:p>
    <w:p w14:paraId="412B07DA" w14:textId="77777777" w:rsidR="00802054" w:rsidRPr="009F1C27" w:rsidRDefault="00000000" w:rsidP="009F1C27">
      <w:pPr>
        <w:pStyle w:val="1"/>
        <w:jc w:val="both"/>
        <w:rPr>
          <w:rFonts w:ascii="Times New Roman" w:hAnsi="Times New Roman" w:cs="Times New Roman"/>
          <w:color w:val="000000" w:themeColor="text1"/>
          <w:sz w:val="24"/>
          <w:szCs w:val="24"/>
        </w:rPr>
      </w:pPr>
      <w:r w:rsidRPr="009F1C27">
        <w:rPr>
          <w:rFonts w:ascii="Times New Roman" w:hAnsi="Times New Roman" w:cs="Times New Roman"/>
          <w:color w:val="000000" w:themeColor="text1"/>
          <w:sz w:val="24"/>
          <w:szCs w:val="24"/>
        </w:rPr>
        <w:t>3.4 How governance is implemented</w:t>
      </w:r>
    </w:p>
    <w:p w14:paraId="2AD90B04" w14:textId="77777777" w:rsidR="00802054" w:rsidRPr="009F1C27" w:rsidRDefault="00000000" w:rsidP="009F1C27">
      <w:pPr>
        <w:ind w:firstLine="720"/>
        <w:jc w:val="both"/>
        <w:rPr>
          <w:rFonts w:cs="Times New Roman"/>
          <w:color w:val="000000" w:themeColor="text1"/>
          <w:szCs w:val="24"/>
        </w:rPr>
      </w:pPr>
      <w:r w:rsidRPr="009F1C27">
        <w:rPr>
          <w:rFonts w:cs="Times New Roman"/>
          <w:color w:val="000000" w:themeColor="text1"/>
          <w:szCs w:val="24"/>
        </w:rPr>
        <w:t xml:space="preserve">Batool et al. (2025) document a wide variety of implementation mechanisms: frameworks, models, tools, policies, ethical guidelines, standards, and institutional arrangements. Their review shows that AI governance is implemented through a mixture of soft and harder mechanisms, </w:t>
      </w:r>
      <w:r w:rsidRPr="009F1C27">
        <w:rPr>
          <w:rFonts w:cs="Times New Roman"/>
          <w:color w:val="000000" w:themeColor="text1"/>
          <w:szCs w:val="24"/>
        </w:rPr>
        <w:lastRenderedPageBreak/>
        <w:t>often depending on domain and level. This is echoed in the literature they cite, from organizational hourglass models (Mäntymäki et al., 2022) to governance models in healthcare (Reddy et al., 2020) and public administration (Wirtz et al., 2020).</w:t>
      </w:r>
    </w:p>
    <w:p w14:paraId="6388639B" w14:textId="77777777" w:rsidR="00802054" w:rsidRPr="009F1C27" w:rsidRDefault="00000000" w:rsidP="009F1C27">
      <w:pPr>
        <w:ind w:firstLine="720"/>
        <w:jc w:val="both"/>
        <w:rPr>
          <w:rFonts w:cs="Times New Roman"/>
          <w:color w:val="000000" w:themeColor="text1"/>
          <w:szCs w:val="24"/>
        </w:rPr>
      </w:pPr>
      <w:r w:rsidRPr="009F1C27">
        <w:rPr>
          <w:rFonts w:cs="Times New Roman"/>
          <w:color w:val="000000" w:themeColor="text1"/>
          <w:szCs w:val="24"/>
        </w:rPr>
        <w:t>Emery-Xu et al. (2025) push the implementation question toward international political design. They do not reject soft governance, but they show that implementation may have to include non-proliferation-like regimes, verification-backed restrictions, or even monopoly-like arrangements for frontier AI. These mechanisms are closer to arms control, strategic trade control, or institutionalized technological restraint than to standard responsible AI toolkits.</w:t>
      </w:r>
    </w:p>
    <w:p w14:paraId="02621245" w14:textId="77777777" w:rsidR="00802054" w:rsidRPr="009F1C27" w:rsidRDefault="00000000" w:rsidP="009F1C27">
      <w:pPr>
        <w:ind w:firstLine="720"/>
        <w:jc w:val="both"/>
        <w:rPr>
          <w:rFonts w:cs="Times New Roman"/>
          <w:color w:val="000000" w:themeColor="text1"/>
          <w:szCs w:val="24"/>
        </w:rPr>
      </w:pPr>
      <w:r w:rsidRPr="009F1C27">
        <w:rPr>
          <w:rFonts w:cs="Times New Roman"/>
          <w:color w:val="000000" w:themeColor="text1"/>
          <w:szCs w:val="24"/>
        </w:rPr>
        <w:t>The key lesson is that implementation mechanisms should vary with capability, risk, and competitive pressure. Ethical principles may be appropriate for shaping broad norms and organizational learning; standards and laws may be more appropriate for deployment; and hard international mechanisms may be required for frontier systems where proliferation and strategic instability are central concerns.</w:t>
      </w:r>
    </w:p>
    <w:p w14:paraId="07639632" w14:textId="77777777" w:rsidR="00802054" w:rsidRPr="009F1C27" w:rsidRDefault="00000000" w:rsidP="009F1C27">
      <w:pPr>
        <w:pStyle w:val="1"/>
        <w:jc w:val="both"/>
        <w:rPr>
          <w:rFonts w:ascii="Times New Roman" w:hAnsi="Times New Roman" w:cs="Times New Roman"/>
          <w:color w:val="000000" w:themeColor="text1"/>
          <w:sz w:val="24"/>
          <w:szCs w:val="24"/>
        </w:rPr>
      </w:pPr>
      <w:r w:rsidRPr="009F1C27">
        <w:rPr>
          <w:rFonts w:ascii="Times New Roman" w:hAnsi="Times New Roman" w:cs="Times New Roman"/>
          <w:color w:val="000000" w:themeColor="text1"/>
          <w:sz w:val="24"/>
          <w:szCs w:val="24"/>
        </w:rPr>
        <w:t>4. Multi-Level Governance in Existing AI Practice</w:t>
      </w:r>
    </w:p>
    <w:p w14:paraId="1285A754" w14:textId="77777777" w:rsidR="00802054" w:rsidRPr="009F1C27" w:rsidRDefault="00000000" w:rsidP="009F1C27">
      <w:pPr>
        <w:ind w:firstLine="720"/>
        <w:jc w:val="both"/>
        <w:rPr>
          <w:rFonts w:cs="Times New Roman"/>
          <w:color w:val="000000" w:themeColor="text1"/>
          <w:szCs w:val="24"/>
        </w:rPr>
      </w:pPr>
      <w:r w:rsidRPr="009F1C27">
        <w:rPr>
          <w:rFonts w:cs="Times New Roman"/>
          <w:color w:val="000000" w:themeColor="text1"/>
          <w:szCs w:val="24"/>
        </w:rPr>
        <w:t>Batool et al. (2025) make a compelling case that AI governance is already a multi-level phenomenon. Their five-level categorization—team, organization, industry, national, international—should be treated as one of the most useful available maps of the field. This map reveals not only where governance occurs, but where the field currently places most of its effort.</w:t>
      </w:r>
    </w:p>
    <w:p w14:paraId="2C70FD9A" w14:textId="77777777" w:rsidR="00802054" w:rsidRPr="009F1C27" w:rsidRDefault="00000000" w:rsidP="009F1C27">
      <w:pPr>
        <w:ind w:firstLine="720"/>
        <w:jc w:val="both"/>
        <w:rPr>
          <w:rFonts w:cs="Times New Roman"/>
          <w:color w:val="000000" w:themeColor="text1"/>
          <w:szCs w:val="24"/>
        </w:rPr>
      </w:pPr>
      <w:r w:rsidRPr="009F1C27">
        <w:rPr>
          <w:rFonts w:cs="Times New Roman"/>
          <w:color w:val="000000" w:themeColor="text1"/>
          <w:szCs w:val="24"/>
        </w:rPr>
        <w:t xml:space="preserve">At the team level, governance typically concerns engineering practice: documentation, data management, testing, bias detection, and human oversight during design and development. Lu et al. (2022) illustrate the importance of pattern-based responsible AI guidance that can be </w:t>
      </w:r>
      <w:r w:rsidRPr="009F1C27">
        <w:rPr>
          <w:rFonts w:cs="Times New Roman"/>
          <w:color w:val="000000" w:themeColor="text1"/>
          <w:szCs w:val="24"/>
        </w:rPr>
        <w:lastRenderedPageBreak/>
        <w:t>embedded into engineering workflows. This level matters because design decisions are often the first site where future harms become encoded.</w:t>
      </w:r>
    </w:p>
    <w:p w14:paraId="05BDBB1A" w14:textId="77777777" w:rsidR="00802054" w:rsidRPr="009F1C27" w:rsidRDefault="00000000" w:rsidP="009F1C27">
      <w:pPr>
        <w:ind w:firstLine="720"/>
        <w:jc w:val="both"/>
        <w:rPr>
          <w:rFonts w:cs="Times New Roman"/>
          <w:color w:val="000000" w:themeColor="text1"/>
          <w:szCs w:val="24"/>
        </w:rPr>
      </w:pPr>
      <w:r w:rsidRPr="009F1C27">
        <w:rPr>
          <w:rFonts w:cs="Times New Roman"/>
          <w:color w:val="000000" w:themeColor="text1"/>
          <w:szCs w:val="24"/>
        </w:rPr>
        <w:t>At the organizational level, governance concerns processes, structures, and accountability systems inside firms and institutions. Batool et al. (2025) find that organizational governance is especially prominent in the literature. This reflects the practical reality that firms are the main sites of AI development and deployment. Organizational governance determines whether ethical principles become operational or remain symbolic. Work on organizational AI governance models and integrated governance frameworks underscores this point (Mäntymäki et al., 2022; Wirtz et al., 2020).</w:t>
      </w:r>
    </w:p>
    <w:p w14:paraId="5ABF8E7A" w14:textId="77777777" w:rsidR="00802054" w:rsidRPr="009F1C27" w:rsidRDefault="00000000" w:rsidP="009F1C27">
      <w:pPr>
        <w:ind w:firstLine="720"/>
        <w:jc w:val="both"/>
        <w:rPr>
          <w:rFonts w:cs="Times New Roman"/>
          <w:color w:val="000000" w:themeColor="text1"/>
          <w:szCs w:val="24"/>
        </w:rPr>
      </w:pPr>
      <w:r w:rsidRPr="009F1C27">
        <w:rPr>
          <w:rFonts w:cs="Times New Roman"/>
          <w:color w:val="000000" w:themeColor="text1"/>
          <w:szCs w:val="24"/>
        </w:rPr>
        <w:t>At the industry level, governance often operates through standards, professional norms, shared benchmarks, and public-private coordination. This layer is critical because many AI governance problems involve coordination among competitors or across supply chains. Standards bodies and professional organizations can help harmonize expectations even where law is incomplete. Batool et al. (2025) are right to emphasize that this level deserves more sustained attention, especially through grey literature and standards analysis.</w:t>
      </w:r>
    </w:p>
    <w:p w14:paraId="01C9BF18" w14:textId="77777777" w:rsidR="00802054" w:rsidRPr="009F1C27" w:rsidRDefault="00000000" w:rsidP="009F1C27">
      <w:pPr>
        <w:ind w:firstLine="720"/>
        <w:jc w:val="both"/>
        <w:rPr>
          <w:rFonts w:cs="Times New Roman"/>
          <w:color w:val="000000" w:themeColor="text1"/>
          <w:szCs w:val="24"/>
        </w:rPr>
      </w:pPr>
      <w:r w:rsidRPr="009F1C27">
        <w:rPr>
          <w:rFonts w:cs="Times New Roman"/>
          <w:color w:val="000000" w:themeColor="text1"/>
          <w:szCs w:val="24"/>
        </w:rPr>
        <w:t>At the national level, governance takes the form of public law, national frameworks, risk management standards, procurement rules, sector regulation, and broader AI strategy. Here one sees the influence of national AI ethics frameworks, NIST-style risk management tools, and statutory initiatives such as the European Union’s AI Act, all of which are noted in the literature summarized by Batool et al. (2025). National governance is crucial because firms alone cannot govern externalities that fall on society at large.</w:t>
      </w:r>
    </w:p>
    <w:p w14:paraId="33B4B2A4" w14:textId="77777777" w:rsidR="00802054" w:rsidRPr="009F1C27" w:rsidRDefault="00000000" w:rsidP="009F1C27">
      <w:pPr>
        <w:ind w:firstLine="720"/>
        <w:jc w:val="both"/>
        <w:rPr>
          <w:rFonts w:cs="Times New Roman"/>
          <w:color w:val="000000" w:themeColor="text1"/>
          <w:szCs w:val="24"/>
        </w:rPr>
      </w:pPr>
      <w:r w:rsidRPr="009F1C27">
        <w:rPr>
          <w:rFonts w:cs="Times New Roman"/>
          <w:color w:val="000000" w:themeColor="text1"/>
          <w:szCs w:val="24"/>
        </w:rPr>
        <w:t xml:space="preserve">At the international level, governance becomes necessary where AI’s impacts cross borders. Batool et al. (2025) include this level in their mapping, but their review also implies that </w:t>
      </w:r>
      <w:r w:rsidRPr="009F1C27">
        <w:rPr>
          <w:rFonts w:cs="Times New Roman"/>
          <w:color w:val="000000" w:themeColor="text1"/>
          <w:szCs w:val="24"/>
        </w:rPr>
        <w:lastRenderedPageBreak/>
        <w:t>it is less mature and less concretely operationalized than the organizational level. This is where Emery-Xu et al. (2025) become especially valuable, because they offer a sharper account of what international AI governance might need to look like for advancing AI.</w:t>
      </w:r>
    </w:p>
    <w:p w14:paraId="36361CE4" w14:textId="77777777" w:rsidR="00802054" w:rsidRPr="009F1C27" w:rsidRDefault="00000000" w:rsidP="009F1C27">
      <w:pPr>
        <w:pStyle w:val="1"/>
        <w:jc w:val="both"/>
        <w:rPr>
          <w:rFonts w:ascii="Times New Roman" w:hAnsi="Times New Roman" w:cs="Times New Roman"/>
          <w:color w:val="000000" w:themeColor="text1"/>
          <w:sz w:val="24"/>
          <w:szCs w:val="24"/>
        </w:rPr>
      </w:pPr>
      <w:r w:rsidRPr="009F1C27">
        <w:rPr>
          <w:rFonts w:ascii="Times New Roman" w:hAnsi="Times New Roman" w:cs="Times New Roman"/>
          <w:color w:val="000000" w:themeColor="text1"/>
          <w:sz w:val="24"/>
          <w:szCs w:val="24"/>
        </w:rPr>
        <w:t>5. Stage-Sensitive Governance and the Need for Early Intervention</w:t>
      </w:r>
    </w:p>
    <w:p w14:paraId="54FF231B" w14:textId="77777777" w:rsidR="00802054" w:rsidRPr="009F1C27" w:rsidRDefault="00000000" w:rsidP="009F1C27">
      <w:pPr>
        <w:ind w:firstLine="720"/>
        <w:jc w:val="both"/>
        <w:rPr>
          <w:rFonts w:cs="Times New Roman"/>
          <w:color w:val="000000" w:themeColor="text1"/>
          <w:szCs w:val="24"/>
        </w:rPr>
      </w:pPr>
      <w:r w:rsidRPr="009F1C27">
        <w:rPr>
          <w:rFonts w:cs="Times New Roman"/>
          <w:color w:val="000000" w:themeColor="text1"/>
          <w:szCs w:val="24"/>
        </w:rPr>
        <w:t>One of the central claims of Emery-Xu et al. (2025) is that governance choices should depend not just on institutional level but on production stage. This insight needs to be brought into mainstream AI governance discussions more directly. Many responsible AI debates still focus on deployment, in part because deployment is where harms are most visible. Yet this visibility may distort governance priorities.</w:t>
      </w:r>
    </w:p>
    <w:p w14:paraId="5AF29933" w14:textId="77777777" w:rsidR="00802054" w:rsidRPr="009F1C27" w:rsidRDefault="00000000" w:rsidP="009F1C27">
      <w:pPr>
        <w:ind w:firstLine="720"/>
        <w:jc w:val="both"/>
        <w:rPr>
          <w:rFonts w:cs="Times New Roman"/>
          <w:color w:val="000000" w:themeColor="text1"/>
          <w:szCs w:val="24"/>
        </w:rPr>
      </w:pPr>
      <w:r w:rsidRPr="009F1C27">
        <w:rPr>
          <w:rFonts w:cs="Times New Roman"/>
          <w:color w:val="000000" w:themeColor="text1"/>
          <w:szCs w:val="24"/>
        </w:rPr>
        <w:t>Deployment governance is important. It is where many accountability, fairness, and safety questions become concrete. This is why so many studies in Batool et al. (2025) focus on sector-specific governance, oversight frameworks, and implementation guidance. However, as Emery-Xu et al. (2025) stress, deployment is often the latest and least controllable stage from the standpoint of certain risks. Once models have proliferated, open-source capabilities have spread, or compute-intensive systems have been trained and diffused, many opportunities for effective intervention are gone.</w:t>
      </w:r>
    </w:p>
    <w:p w14:paraId="27EC23ED" w14:textId="77777777" w:rsidR="00802054" w:rsidRPr="009F1C27" w:rsidRDefault="00000000" w:rsidP="009F1C27">
      <w:pPr>
        <w:ind w:firstLine="720"/>
        <w:jc w:val="both"/>
        <w:rPr>
          <w:rFonts w:cs="Times New Roman"/>
          <w:color w:val="000000" w:themeColor="text1"/>
          <w:szCs w:val="24"/>
        </w:rPr>
      </w:pPr>
      <w:r w:rsidRPr="009F1C27">
        <w:rPr>
          <w:rFonts w:cs="Times New Roman"/>
          <w:color w:val="000000" w:themeColor="text1"/>
          <w:szCs w:val="24"/>
        </w:rPr>
        <w:t>Development-stage governance is therefore essential for frontier systems. It is also where governance may be most feasible if policymakers can exploit chokepoints. The idea that development should be governable is not unprecedented. Historical technological governance debates around recombinant DNA, biotechnology, and nuclear weapons all wrestled with the need to intervene before widespread use (Cohen, 2018; Fredrickson, 1991; Stern, 2002, 2003). The point of analogy is not that AI is identical to these technologies, but that a governance architecture should be prepared to act earlier than deployment if the risk profile demands it.</w:t>
      </w:r>
    </w:p>
    <w:p w14:paraId="292B123E" w14:textId="77777777" w:rsidR="00802054" w:rsidRPr="009F1C27" w:rsidRDefault="00000000" w:rsidP="009F1C27">
      <w:pPr>
        <w:ind w:firstLine="720"/>
        <w:jc w:val="both"/>
        <w:rPr>
          <w:rFonts w:cs="Times New Roman"/>
          <w:color w:val="000000" w:themeColor="text1"/>
          <w:szCs w:val="24"/>
        </w:rPr>
      </w:pPr>
      <w:r w:rsidRPr="009F1C27">
        <w:rPr>
          <w:rFonts w:cs="Times New Roman"/>
          <w:color w:val="000000" w:themeColor="text1"/>
          <w:szCs w:val="24"/>
        </w:rPr>
        <w:lastRenderedPageBreak/>
        <w:t>Proliferation-stage governance matters for similar reasons. If frontier AI systems are difficult to control once widely dispersed, then controlling access to compute or frontier training capabilities may be more realistic than attempting to govern every downstream use. Buchanan (2020) and Khan and Mann (2020) help ground this point in material conditions. Governance of AI cannot be only a governance of ideas, because compute and chip supply chains create physical bottlenecks that may be governable.</w:t>
      </w:r>
    </w:p>
    <w:p w14:paraId="74679183" w14:textId="77777777" w:rsidR="00802054" w:rsidRPr="009F1C27" w:rsidRDefault="00000000" w:rsidP="009F1C27">
      <w:pPr>
        <w:pStyle w:val="1"/>
        <w:jc w:val="both"/>
        <w:rPr>
          <w:rFonts w:ascii="Times New Roman" w:hAnsi="Times New Roman" w:cs="Times New Roman"/>
          <w:color w:val="000000" w:themeColor="text1"/>
          <w:sz w:val="24"/>
          <w:szCs w:val="24"/>
        </w:rPr>
      </w:pPr>
      <w:r w:rsidRPr="009F1C27">
        <w:rPr>
          <w:rFonts w:ascii="Times New Roman" w:hAnsi="Times New Roman" w:cs="Times New Roman"/>
          <w:color w:val="000000" w:themeColor="text1"/>
          <w:sz w:val="24"/>
          <w:szCs w:val="24"/>
        </w:rPr>
        <w:t>6. Risk Typologies and Governance Matching</w:t>
      </w:r>
    </w:p>
    <w:p w14:paraId="4446493F" w14:textId="77777777" w:rsidR="00802054" w:rsidRPr="009F1C27" w:rsidRDefault="00000000" w:rsidP="009F1C27">
      <w:pPr>
        <w:ind w:firstLine="720"/>
        <w:jc w:val="both"/>
        <w:rPr>
          <w:rFonts w:cs="Times New Roman"/>
          <w:color w:val="000000" w:themeColor="text1"/>
          <w:szCs w:val="24"/>
        </w:rPr>
      </w:pPr>
      <w:r w:rsidRPr="009F1C27">
        <w:rPr>
          <w:rFonts w:cs="Times New Roman"/>
          <w:color w:val="000000" w:themeColor="text1"/>
          <w:szCs w:val="24"/>
        </w:rPr>
        <w:t>Emery-Xu et al. (2025) classify AI risks into accidental, misuse-based, and structural categories. This typology should be integrated more explicitly into the broader AI governance literature because it can help determine which governance tools match which risk profile.</w:t>
      </w:r>
    </w:p>
    <w:p w14:paraId="5774DD10" w14:textId="77777777" w:rsidR="00802054" w:rsidRPr="009F1C27" w:rsidRDefault="00000000" w:rsidP="009F1C27">
      <w:pPr>
        <w:ind w:firstLine="720"/>
        <w:jc w:val="both"/>
        <w:rPr>
          <w:rFonts w:cs="Times New Roman"/>
          <w:color w:val="000000" w:themeColor="text1"/>
          <w:szCs w:val="24"/>
        </w:rPr>
      </w:pPr>
      <w:r w:rsidRPr="009F1C27">
        <w:rPr>
          <w:rFonts w:cs="Times New Roman"/>
          <w:color w:val="000000" w:themeColor="text1"/>
          <w:szCs w:val="24"/>
        </w:rPr>
        <w:t>Accidental risks are perhaps the most familiar within responsible AI discourse. These include unintended harmful outputs, technical failures, model biases, and unsafe use. Organizational governance, testing regimes, auditing, documentation, and sectoral quality assurance are well suited to such problems. Batool et al. (2025) show that much of the AI governance literature already targets these issues.</w:t>
      </w:r>
    </w:p>
    <w:p w14:paraId="39518D39" w14:textId="77777777" w:rsidR="00802054" w:rsidRPr="009F1C27" w:rsidRDefault="00000000" w:rsidP="009F1C27">
      <w:pPr>
        <w:ind w:firstLine="720"/>
        <w:jc w:val="both"/>
        <w:rPr>
          <w:rFonts w:cs="Times New Roman"/>
          <w:color w:val="000000" w:themeColor="text1"/>
          <w:szCs w:val="24"/>
        </w:rPr>
      </w:pPr>
      <w:r w:rsidRPr="009F1C27">
        <w:rPr>
          <w:rFonts w:cs="Times New Roman"/>
          <w:color w:val="000000" w:themeColor="text1"/>
          <w:szCs w:val="24"/>
        </w:rPr>
        <w:t>Misuse risks include deliberate harmful applications such as cyber offense, disinformation, deepfakes, or bioweapon assistance. These risks are harder to manage with purely internal or voluntary tools because malicious actors may not be sensitive to norms and because the harms often spread transnationally. Brundage et al. (2018) emphasize the malicious-use problem clearly, while Urbina et al. (2022) show the dual-use dangers of AI-powered drug discovery. Such risks may require access controls, reporting duties, export restrictions, and forms of international coordination.</w:t>
      </w:r>
    </w:p>
    <w:p w14:paraId="08A39874" w14:textId="77777777" w:rsidR="00802054" w:rsidRPr="009F1C27" w:rsidRDefault="00000000" w:rsidP="009F1C27">
      <w:pPr>
        <w:ind w:firstLine="720"/>
        <w:jc w:val="both"/>
        <w:rPr>
          <w:rFonts w:cs="Times New Roman"/>
          <w:color w:val="000000" w:themeColor="text1"/>
          <w:szCs w:val="24"/>
        </w:rPr>
      </w:pPr>
      <w:r w:rsidRPr="009F1C27">
        <w:rPr>
          <w:rFonts w:cs="Times New Roman"/>
          <w:color w:val="000000" w:themeColor="text1"/>
          <w:szCs w:val="24"/>
        </w:rPr>
        <w:lastRenderedPageBreak/>
        <w:t>Structural risks concern broader changes to incentives, markets, and political stability. Emery-Xu et al. (2025) discuss risks such as concentration of power, strategic instability, and systemic economic change. Horowitz (2018, 2020, 2021) likewise emphasizes the international political implications of emerging military technologies and AI’s role in strategic competition. Structural risks are the hardest to govern because they are not reducible to isolated incidents or individual harms. They emerge from the interactions among firms, states, and institutions over time.</w:t>
      </w:r>
    </w:p>
    <w:p w14:paraId="071C5E54" w14:textId="77777777" w:rsidR="00802054" w:rsidRPr="009F1C27" w:rsidRDefault="00000000" w:rsidP="009F1C27">
      <w:pPr>
        <w:ind w:firstLine="720"/>
        <w:jc w:val="both"/>
        <w:rPr>
          <w:rFonts w:cs="Times New Roman"/>
          <w:color w:val="000000" w:themeColor="text1"/>
          <w:szCs w:val="24"/>
        </w:rPr>
      </w:pPr>
      <w:r w:rsidRPr="009F1C27">
        <w:rPr>
          <w:rFonts w:cs="Times New Roman"/>
          <w:color w:val="000000" w:themeColor="text1"/>
          <w:szCs w:val="24"/>
        </w:rPr>
        <w:t>The value of this typology is that it suggests governance matching. Team and organizational practices are crucial for many accidental risks. National and international restrictions are more necessary for misuse risks with broad externalities. Structural risks demand the highest level of coordination because no individual actor has incentives to solve them unilaterally. This matching logic strengthens the argument that governance must escalate as the risk environment changes.</w:t>
      </w:r>
    </w:p>
    <w:p w14:paraId="665B7B3B" w14:textId="77777777" w:rsidR="00802054" w:rsidRPr="009F1C27" w:rsidRDefault="00000000" w:rsidP="009F1C27">
      <w:pPr>
        <w:pStyle w:val="1"/>
        <w:jc w:val="both"/>
        <w:rPr>
          <w:rFonts w:ascii="Times New Roman" w:hAnsi="Times New Roman" w:cs="Times New Roman"/>
          <w:color w:val="000000" w:themeColor="text1"/>
          <w:sz w:val="24"/>
          <w:szCs w:val="24"/>
        </w:rPr>
      </w:pPr>
      <w:r w:rsidRPr="009F1C27">
        <w:rPr>
          <w:rFonts w:ascii="Times New Roman" w:hAnsi="Times New Roman" w:cs="Times New Roman"/>
          <w:color w:val="000000" w:themeColor="text1"/>
          <w:sz w:val="24"/>
          <w:szCs w:val="24"/>
        </w:rPr>
        <w:t>7. Voluntary Governance, Strategic Competition, and the Limits of Soft Law</w:t>
      </w:r>
    </w:p>
    <w:p w14:paraId="5E93618B" w14:textId="77777777" w:rsidR="00802054" w:rsidRPr="009F1C27" w:rsidRDefault="00000000" w:rsidP="009F1C27">
      <w:pPr>
        <w:ind w:firstLine="720"/>
        <w:jc w:val="both"/>
        <w:rPr>
          <w:rFonts w:cs="Times New Roman"/>
          <w:color w:val="000000" w:themeColor="text1"/>
          <w:szCs w:val="24"/>
        </w:rPr>
      </w:pPr>
      <w:r w:rsidRPr="009F1C27">
        <w:rPr>
          <w:rFonts w:cs="Times New Roman"/>
          <w:color w:val="000000" w:themeColor="text1"/>
          <w:szCs w:val="24"/>
        </w:rPr>
        <w:t>Batool et al. (2025) document a governance field rich in frameworks, principles, and models. This is a strength of the current literature, but it also reveals a problem: much of AI governance remains soft. Emery-Xu et al. (2025) show why this is a serious limitation in competitive environments. Subnational governance and voluntary standards can work when the rewards for harmful behavior are relatively low or when actors value reputational compliance. But where actors face strong incentives to move faster, proliferate capabilities, or gain strategic advantage, soft governance may fail.</w:t>
      </w:r>
    </w:p>
    <w:p w14:paraId="57120CE7" w14:textId="77777777" w:rsidR="00802054" w:rsidRPr="009F1C27" w:rsidRDefault="00000000" w:rsidP="009F1C27">
      <w:pPr>
        <w:ind w:firstLine="720"/>
        <w:jc w:val="both"/>
        <w:rPr>
          <w:rFonts w:cs="Times New Roman"/>
          <w:color w:val="000000" w:themeColor="text1"/>
          <w:szCs w:val="24"/>
        </w:rPr>
      </w:pPr>
      <w:r w:rsidRPr="009F1C27">
        <w:rPr>
          <w:rFonts w:cs="Times New Roman"/>
          <w:color w:val="000000" w:themeColor="text1"/>
          <w:szCs w:val="24"/>
        </w:rPr>
        <w:t xml:space="preserve">This problem has analogues in international relations more broadly. Cooperation depends not only on shared principles but on whether incentives align and whether institutions can sustain </w:t>
      </w:r>
      <w:r w:rsidRPr="009F1C27">
        <w:rPr>
          <w:rFonts w:cs="Times New Roman"/>
          <w:color w:val="000000" w:themeColor="text1"/>
          <w:szCs w:val="24"/>
        </w:rPr>
        <w:lastRenderedPageBreak/>
        <w:t>reciprocity or monitoring (Axelrod, 1984; Keohane, 1984). Race dynamics complicate this possibility. Armstrong et al. (2016) model how AI development can become a race to the precipice. In such a world, even actors that prefer safety may cut corners if they fear rivals gaining decisive advantages. Emery-Xu et al. (2025) correctly note that race-to-the-bottom dynamics are increasingly plausible in AI development.</w:t>
      </w:r>
    </w:p>
    <w:p w14:paraId="6A85D9F9" w14:textId="77777777" w:rsidR="00802054" w:rsidRPr="009F1C27" w:rsidRDefault="00000000" w:rsidP="009F1C27">
      <w:pPr>
        <w:ind w:firstLine="720"/>
        <w:jc w:val="both"/>
        <w:rPr>
          <w:rFonts w:cs="Times New Roman"/>
          <w:color w:val="000000" w:themeColor="text1"/>
          <w:szCs w:val="24"/>
        </w:rPr>
      </w:pPr>
      <w:r w:rsidRPr="009F1C27">
        <w:rPr>
          <w:rFonts w:cs="Times New Roman"/>
          <w:color w:val="000000" w:themeColor="text1"/>
          <w:szCs w:val="24"/>
        </w:rPr>
        <w:t>This does not imply that soft law, principles, and ethics are irrelevant. On the contrary, they provide essential scaffolding for organizational learning, public justification, and standards development. Jobin et al. (2019) and Corrêa et al. (2023) show that ethical AI guidelines have become globally widespread. The issue is not whether these instruments matter, but what they can realistically accomplish without stronger backing. Soft governance can prepare the ground for harder governance, but it is rarely enough on its own when strategic and economic stakes are high.</w:t>
      </w:r>
    </w:p>
    <w:p w14:paraId="2C08206A" w14:textId="77777777" w:rsidR="00802054" w:rsidRPr="009F1C27" w:rsidRDefault="00000000" w:rsidP="009F1C27">
      <w:pPr>
        <w:pStyle w:val="1"/>
        <w:jc w:val="both"/>
        <w:rPr>
          <w:rFonts w:ascii="Times New Roman" w:hAnsi="Times New Roman" w:cs="Times New Roman"/>
          <w:color w:val="000000" w:themeColor="text1"/>
          <w:sz w:val="24"/>
          <w:szCs w:val="24"/>
        </w:rPr>
      </w:pPr>
      <w:r w:rsidRPr="009F1C27">
        <w:rPr>
          <w:rFonts w:ascii="Times New Roman" w:hAnsi="Times New Roman" w:cs="Times New Roman"/>
          <w:color w:val="000000" w:themeColor="text1"/>
          <w:sz w:val="24"/>
          <w:szCs w:val="24"/>
        </w:rPr>
        <w:t>8. Chokepoints, Concentration, and the Material Basis of Governance</w:t>
      </w:r>
    </w:p>
    <w:p w14:paraId="4ED05F1E" w14:textId="77777777" w:rsidR="00802054" w:rsidRPr="009F1C27" w:rsidRDefault="00000000" w:rsidP="009F1C27">
      <w:pPr>
        <w:ind w:firstLine="720"/>
        <w:jc w:val="both"/>
        <w:rPr>
          <w:rFonts w:cs="Times New Roman"/>
          <w:color w:val="000000" w:themeColor="text1"/>
          <w:szCs w:val="24"/>
        </w:rPr>
      </w:pPr>
      <w:r w:rsidRPr="009F1C27">
        <w:rPr>
          <w:rFonts w:cs="Times New Roman"/>
          <w:color w:val="000000" w:themeColor="text1"/>
          <w:szCs w:val="24"/>
        </w:rPr>
        <w:t>One of the most distinctive contributions of the international-governance literature on AI is its focus on material bottlenecks and concentration. Emery-Xu et al. (2025) emphasize that frontier AI development depends heavily on compute, advanced chips, and scale. This gives AI governance a material basis that differs from much of the abstract ethics discourse. Ahmed and Wahed (2020) discuss the compute divide in AI research, while Allen (2022) focuses on cutting off access to future AI through hardware restrictions. Khan and Mann (2020) similarly show why AI chips matter strategically.</w:t>
      </w:r>
    </w:p>
    <w:p w14:paraId="2ADDEF38" w14:textId="77777777" w:rsidR="00802054" w:rsidRPr="009F1C27" w:rsidRDefault="00000000" w:rsidP="009F1C27">
      <w:pPr>
        <w:ind w:firstLine="720"/>
        <w:jc w:val="both"/>
        <w:rPr>
          <w:rFonts w:cs="Times New Roman"/>
          <w:color w:val="000000" w:themeColor="text1"/>
          <w:szCs w:val="24"/>
        </w:rPr>
      </w:pPr>
      <w:r w:rsidRPr="009F1C27">
        <w:rPr>
          <w:rFonts w:cs="Times New Roman"/>
          <w:color w:val="000000" w:themeColor="text1"/>
          <w:szCs w:val="24"/>
        </w:rPr>
        <w:t xml:space="preserve">The chokepoint concept is important because it identifies where governance leverage may be strongest. Regulating all software diffusion may be unrealistic, but regulating access to the most advanced compute or manufacturing capability may be more feasible. This does not </w:t>
      </w:r>
      <w:r w:rsidRPr="009F1C27">
        <w:rPr>
          <w:rFonts w:cs="Times New Roman"/>
          <w:color w:val="000000" w:themeColor="text1"/>
          <w:szCs w:val="24"/>
        </w:rPr>
        <w:lastRenderedPageBreak/>
        <w:t>solve the whole governance problem, but it creates a plausible point of intervention at the development and proliferation stages.</w:t>
      </w:r>
    </w:p>
    <w:p w14:paraId="1F2F11B6" w14:textId="77777777" w:rsidR="00802054" w:rsidRPr="009F1C27" w:rsidRDefault="00000000" w:rsidP="009F1C27">
      <w:pPr>
        <w:ind w:firstLine="720"/>
        <w:jc w:val="both"/>
        <w:rPr>
          <w:rFonts w:cs="Times New Roman"/>
          <w:color w:val="000000" w:themeColor="text1"/>
          <w:szCs w:val="24"/>
        </w:rPr>
      </w:pPr>
      <w:r w:rsidRPr="009F1C27">
        <w:rPr>
          <w:rFonts w:cs="Times New Roman"/>
          <w:color w:val="000000" w:themeColor="text1"/>
          <w:szCs w:val="24"/>
        </w:rPr>
        <w:t>Concentration complicates the picture further. Large firms and powerful states may be both easier to govern and harder to constrain. Economies of scale, large datasets, specialized infrastructure, and first-mover advantages can create dominant actors. Emery-Xu et al. (2025) note that this could make forms of monopoly governance conceivable, even if politically controversial. Batool et al. (2025), by emphasizing the centrality of organizational governance, indirectly show why concentration matters: much AI governance is organizational because much advanced AI capability is organizationally concentrated.</w:t>
      </w:r>
    </w:p>
    <w:p w14:paraId="6BC728D7" w14:textId="77777777" w:rsidR="00802054" w:rsidRPr="009F1C27" w:rsidRDefault="00000000" w:rsidP="009F1C27">
      <w:pPr>
        <w:ind w:firstLine="720"/>
        <w:jc w:val="both"/>
        <w:rPr>
          <w:rFonts w:cs="Times New Roman"/>
          <w:color w:val="000000" w:themeColor="text1"/>
          <w:szCs w:val="24"/>
        </w:rPr>
      </w:pPr>
      <w:r w:rsidRPr="009F1C27">
        <w:rPr>
          <w:rFonts w:cs="Times New Roman"/>
          <w:color w:val="000000" w:themeColor="text1"/>
          <w:szCs w:val="24"/>
        </w:rPr>
        <w:t>This means that competition policy, industrial policy, and frontier capability governance are all relevant to AI governance. A governance architecture that treats market structure as outside its scope will miss a major source of risk.</w:t>
      </w:r>
    </w:p>
    <w:p w14:paraId="5276A303" w14:textId="77777777" w:rsidR="00802054" w:rsidRPr="009F1C27" w:rsidRDefault="00000000" w:rsidP="009F1C27">
      <w:pPr>
        <w:pStyle w:val="1"/>
        <w:jc w:val="both"/>
        <w:rPr>
          <w:rFonts w:ascii="Times New Roman" w:hAnsi="Times New Roman" w:cs="Times New Roman"/>
          <w:color w:val="000000" w:themeColor="text1"/>
          <w:sz w:val="24"/>
          <w:szCs w:val="24"/>
        </w:rPr>
      </w:pPr>
      <w:r w:rsidRPr="009F1C27">
        <w:rPr>
          <w:rFonts w:ascii="Times New Roman" w:hAnsi="Times New Roman" w:cs="Times New Roman"/>
          <w:color w:val="000000" w:themeColor="text1"/>
          <w:sz w:val="24"/>
          <w:szCs w:val="24"/>
        </w:rPr>
        <w:t>9. Toward an Integrated Architecture for AI Governance</w:t>
      </w:r>
    </w:p>
    <w:p w14:paraId="2C587AF0" w14:textId="77777777" w:rsidR="00802054" w:rsidRPr="009F1C27" w:rsidRDefault="00000000" w:rsidP="009F1C27">
      <w:pPr>
        <w:ind w:firstLine="720"/>
        <w:jc w:val="both"/>
        <w:rPr>
          <w:rFonts w:cs="Times New Roman"/>
          <w:color w:val="000000" w:themeColor="text1"/>
          <w:szCs w:val="24"/>
        </w:rPr>
      </w:pPr>
      <w:r w:rsidRPr="009F1C27">
        <w:rPr>
          <w:rFonts w:cs="Times New Roman"/>
          <w:color w:val="000000" w:themeColor="text1"/>
          <w:szCs w:val="24"/>
        </w:rPr>
        <w:t>Bringing these insights together, an integrated architecture for AI governance should rest on three principles: layering, stage sensitivity, and escalation.</w:t>
      </w:r>
    </w:p>
    <w:p w14:paraId="597122A7" w14:textId="77777777" w:rsidR="00802054" w:rsidRPr="009F1C27" w:rsidRDefault="00000000" w:rsidP="009F1C27">
      <w:pPr>
        <w:ind w:firstLine="720"/>
        <w:jc w:val="both"/>
        <w:rPr>
          <w:rFonts w:cs="Times New Roman"/>
          <w:color w:val="000000" w:themeColor="text1"/>
          <w:szCs w:val="24"/>
        </w:rPr>
      </w:pPr>
      <w:r w:rsidRPr="009F1C27">
        <w:rPr>
          <w:rFonts w:cs="Times New Roman"/>
          <w:color w:val="000000" w:themeColor="text1"/>
          <w:szCs w:val="24"/>
        </w:rPr>
        <w:t>Layering means governance must be distributed across teams, organizations, industries, states, and international institutions. Each level has strengths and weaknesses. Team-level and organizational governance are closest to design and implementation. Industry governance can coordinate standards and norms. National governance can enforce public rules and align policy with broader social goals. International governance can address proliferation, strategic competition, and cross-border externalities.</w:t>
      </w:r>
    </w:p>
    <w:p w14:paraId="644B35DC" w14:textId="77777777" w:rsidR="00802054" w:rsidRPr="009F1C27" w:rsidRDefault="00000000" w:rsidP="009F1C27">
      <w:pPr>
        <w:ind w:firstLine="720"/>
        <w:jc w:val="both"/>
        <w:rPr>
          <w:rFonts w:cs="Times New Roman"/>
          <w:color w:val="000000" w:themeColor="text1"/>
          <w:szCs w:val="24"/>
        </w:rPr>
      </w:pPr>
      <w:r w:rsidRPr="009F1C27">
        <w:rPr>
          <w:rFonts w:cs="Times New Roman"/>
          <w:color w:val="000000" w:themeColor="text1"/>
          <w:szCs w:val="24"/>
        </w:rPr>
        <w:lastRenderedPageBreak/>
        <w:t>Stage sensitivity means governance should be designed differently at development, proliferation, and deployment. Deployment governance is critical for many present harms, but development and proliferation governance become increasingly necessary for frontier and dual-use AI. A system that waits until deployment to intervene may be too late for some risk classes.</w:t>
      </w:r>
    </w:p>
    <w:p w14:paraId="345E26EB" w14:textId="77777777" w:rsidR="00802054" w:rsidRPr="009F1C27" w:rsidRDefault="00000000" w:rsidP="009F1C27">
      <w:pPr>
        <w:ind w:firstLine="720"/>
        <w:jc w:val="both"/>
        <w:rPr>
          <w:rFonts w:cs="Times New Roman"/>
          <w:color w:val="000000" w:themeColor="text1"/>
          <w:szCs w:val="24"/>
        </w:rPr>
      </w:pPr>
      <w:r w:rsidRPr="009F1C27">
        <w:rPr>
          <w:rFonts w:cs="Times New Roman"/>
          <w:color w:val="000000" w:themeColor="text1"/>
          <w:szCs w:val="24"/>
        </w:rPr>
        <w:t>Escalation means governance should become stronger as incentives harden and externalities widen. Soft principles and voluntary practices are appropriate and valuable in many settings, but they should be complemented by standards, reporting requirements, procurement rules, liability structures, and international controls where needed. The aim is not maximal regulation everywhere, but governance that matches context.</w:t>
      </w:r>
    </w:p>
    <w:p w14:paraId="1B07D1BA" w14:textId="77777777" w:rsidR="00802054" w:rsidRPr="009F1C27" w:rsidRDefault="00000000" w:rsidP="009F1C27">
      <w:pPr>
        <w:ind w:firstLine="720"/>
        <w:jc w:val="both"/>
        <w:rPr>
          <w:rFonts w:cs="Times New Roman"/>
          <w:color w:val="000000" w:themeColor="text1"/>
          <w:szCs w:val="24"/>
        </w:rPr>
      </w:pPr>
      <w:r w:rsidRPr="009F1C27">
        <w:rPr>
          <w:rFonts w:cs="Times New Roman"/>
          <w:color w:val="000000" w:themeColor="text1"/>
          <w:szCs w:val="24"/>
        </w:rPr>
        <w:t>This architecture also implies that responsible AI and international AI governance are not competing paradigms. They are linked layers of the same governance problem. Responsible AI without strategic governance leaves frontier risks exposed. Strategic governance without responsible AI leaves everyday harms and implementation failures untouched. Durable AI governance requires both.</w:t>
      </w:r>
    </w:p>
    <w:p w14:paraId="16058392" w14:textId="77777777" w:rsidR="00802054" w:rsidRPr="009F1C27" w:rsidRDefault="00000000" w:rsidP="009F1C27">
      <w:pPr>
        <w:pStyle w:val="1"/>
        <w:jc w:val="both"/>
        <w:rPr>
          <w:rFonts w:ascii="Times New Roman" w:hAnsi="Times New Roman" w:cs="Times New Roman"/>
          <w:color w:val="000000" w:themeColor="text1"/>
          <w:sz w:val="24"/>
          <w:szCs w:val="24"/>
        </w:rPr>
      </w:pPr>
      <w:r w:rsidRPr="009F1C27">
        <w:rPr>
          <w:rFonts w:ascii="Times New Roman" w:hAnsi="Times New Roman" w:cs="Times New Roman"/>
          <w:color w:val="000000" w:themeColor="text1"/>
          <w:sz w:val="24"/>
          <w:szCs w:val="24"/>
        </w:rPr>
        <w:t>10. Research and Policy Agenda</w:t>
      </w:r>
    </w:p>
    <w:p w14:paraId="6C9537F3" w14:textId="77777777" w:rsidR="00802054" w:rsidRPr="009F1C27" w:rsidRDefault="00000000" w:rsidP="009F1C27">
      <w:pPr>
        <w:ind w:firstLine="720"/>
        <w:jc w:val="both"/>
        <w:rPr>
          <w:rFonts w:cs="Times New Roman"/>
          <w:color w:val="000000" w:themeColor="text1"/>
          <w:szCs w:val="24"/>
        </w:rPr>
      </w:pPr>
      <w:r w:rsidRPr="009F1C27">
        <w:rPr>
          <w:rFonts w:cs="Times New Roman"/>
          <w:color w:val="000000" w:themeColor="text1"/>
          <w:szCs w:val="24"/>
        </w:rPr>
        <w:t>The synthesis advanced here suggests several priorities. First, future research should connect governance levels to governance stages more explicitly. Batool et al. (2025) provide a level-based map, while Emery-Xu et al. (2025) provide a stage-based map. The next step is to analyze systematically which actors are best positioned to intervene at which stage and under what conditions such intervention is legitimate and effective.</w:t>
      </w:r>
    </w:p>
    <w:p w14:paraId="33906328" w14:textId="77777777" w:rsidR="00802054" w:rsidRPr="009F1C27" w:rsidRDefault="00000000" w:rsidP="009F1C27">
      <w:pPr>
        <w:ind w:firstLine="720"/>
        <w:jc w:val="both"/>
        <w:rPr>
          <w:rFonts w:cs="Times New Roman"/>
          <w:color w:val="000000" w:themeColor="text1"/>
          <w:szCs w:val="24"/>
        </w:rPr>
      </w:pPr>
      <w:r w:rsidRPr="009F1C27">
        <w:rPr>
          <w:rFonts w:cs="Times New Roman"/>
          <w:color w:val="000000" w:themeColor="text1"/>
          <w:szCs w:val="24"/>
        </w:rPr>
        <w:t>Second, governance research should devote more attention to chokepoints and technical bottlenecks. Many current governance discussions remain principle-heavy and infrastructure-</w:t>
      </w:r>
      <w:r w:rsidRPr="009F1C27">
        <w:rPr>
          <w:rFonts w:cs="Times New Roman"/>
          <w:color w:val="000000" w:themeColor="text1"/>
          <w:szCs w:val="24"/>
        </w:rPr>
        <w:lastRenderedPageBreak/>
        <w:t>light. Yet compute governance, chip supply chains, and scaling thresholds may become central to any serious frontier governance regime.</w:t>
      </w:r>
    </w:p>
    <w:p w14:paraId="4538D55D" w14:textId="77777777" w:rsidR="00802054" w:rsidRPr="009F1C27" w:rsidRDefault="00000000" w:rsidP="009F1C27">
      <w:pPr>
        <w:ind w:firstLine="720"/>
        <w:jc w:val="both"/>
        <w:rPr>
          <w:rFonts w:cs="Times New Roman"/>
          <w:color w:val="000000" w:themeColor="text1"/>
          <w:szCs w:val="24"/>
        </w:rPr>
      </w:pPr>
      <w:r w:rsidRPr="009F1C27">
        <w:rPr>
          <w:rFonts w:cs="Times New Roman"/>
          <w:color w:val="000000" w:themeColor="text1"/>
          <w:szCs w:val="24"/>
        </w:rPr>
        <w:t>Third, more work is needed on the relationship between standards and law. Batool et al. (2025) are correct to note the importance of standards bodies and grey literature. These institutions may serve as bridges between organizational practice and national or international regulation.</w:t>
      </w:r>
    </w:p>
    <w:p w14:paraId="305E36D7" w14:textId="77777777" w:rsidR="00802054" w:rsidRPr="009F1C27" w:rsidRDefault="00000000" w:rsidP="009F1C27">
      <w:pPr>
        <w:ind w:firstLine="720"/>
        <w:jc w:val="both"/>
        <w:rPr>
          <w:rFonts w:cs="Times New Roman"/>
          <w:color w:val="000000" w:themeColor="text1"/>
          <w:szCs w:val="24"/>
        </w:rPr>
      </w:pPr>
      <w:r w:rsidRPr="009F1C27">
        <w:rPr>
          <w:rFonts w:cs="Times New Roman"/>
          <w:color w:val="000000" w:themeColor="text1"/>
          <w:szCs w:val="24"/>
        </w:rPr>
        <w:t>Fourth, policy should begin from the assumption that no single instrument suffices. A portfolio approach is more realistic: organizational controls for development and deployment, sectoral standards for harmonization, national rules for enforcement and public accountability, and international coordination or restraint for frontier capabilities.</w:t>
      </w:r>
    </w:p>
    <w:p w14:paraId="296A98B8" w14:textId="77777777" w:rsidR="00802054" w:rsidRPr="009F1C27" w:rsidRDefault="00000000" w:rsidP="009F1C27">
      <w:pPr>
        <w:pStyle w:val="1"/>
        <w:jc w:val="both"/>
        <w:rPr>
          <w:rFonts w:ascii="Times New Roman" w:hAnsi="Times New Roman" w:cs="Times New Roman"/>
          <w:color w:val="000000" w:themeColor="text1"/>
          <w:sz w:val="24"/>
          <w:szCs w:val="24"/>
        </w:rPr>
      </w:pPr>
      <w:r w:rsidRPr="009F1C27">
        <w:rPr>
          <w:rFonts w:ascii="Times New Roman" w:hAnsi="Times New Roman" w:cs="Times New Roman"/>
          <w:color w:val="000000" w:themeColor="text1"/>
          <w:sz w:val="24"/>
          <w:szCs w:val="24"/>
        </w:rPr>
        <w:t>11. Limitations of the Present Paper</w:t>
      </w:r>
    </w:p>
    <w:p w14:paraId="797190AC" w14:textId="77777777" w:rsidR="00802054" w:rsidRPr="009F1C27" w:rsidRDefault="00000000" w:rsidP="009F1C27">
      <w:pPr>
        <w:ind w:firstLine="720"/>
        <w:jc w:val="both"/>
        <w:rPr>
          <w:rFonts w:cs="Times New Roman"/>
          <w:color w:val="000000" w:themeColor="text1"/>
          <w:szCs w:val="24"/>
        </w:rPr>
      </w:pPr>
      <w:r w:rsidRPr="009F1C27">
        <w:rPr>
          <w:rFonts w:cs="Times New Roman"/>
          <w:color w:val="000000" w:themeColor="text1"/>
          <w:szCs w:val="24"/>
        </w:rPr>
        <w:t>This paper is a conceptual synthesis of two source publications and the references contained within them. It does not present new empirical data. Its contribution lies in integrating a systematic review of AI governance with a strategic analysis of international AI governance. Because the user requested that citations come only from the provided publications, the paper is intentionally bounded in its literature base. Even so, the synthesis shows that a coherent and well-grounded argument can be built from those sources.</w:t>
      </w:r>
    </w:p>
    <w:p w14:paraId="14C821C7" w14:textId="77777777" w:rsidR="00802054" w:rsidRPr="009F1C27" w:rsidRDefault="00000000" w:rsidP="009F1C27">
      <w:pPr>
        <w:pStyle w:val="1"/>
        <w:jc w:val="both"/>
        <w:rPr>
          <w:rFonts w:ascii="Times New Roman" w:hAnsi="Times New Roman" w:cs="Times New Roman"/>
          <w:color w:val="000000" w:themeColor="text1"/>
          <w:sz w:val="24"/>
          <w:szCs w:val="24"/>
        </w:rPr>
      </w:pPr>
      <w:r w:rsidRPr="009F1C27">
        <w:rPr>
          <w:rFonts w:ascii="Times New Roman" w:hAnsi="Times New Roman" w:cs="Times New Roman"/>
          <w:color w:val="000000" w:themeColor="text1"/>
          <w:sz w:val="24"/>
          <w:szCs w:val="24"/>
        </w:rPr>
        <w:t>12. Conclusion</w:t>
      </w:r>
    </w:p>
    <w:p w14:paraId="5CC49C8B" w14:textId="77777777" w:rsidR="00802054" w:rsidRPr="009F1C27" w:rsidRDefault="00000000" w:rsidP="009F1C27">
      <w:pPr>
        <w:ind w:firstLine="720"/>
        <w:jc w:val="both"/>
        <w:rPr>
          <w:rFonts w:cs="Times New Roman"/>
          <w:color w:val="000000" w:themeColor="text1"/>
          <w:szCs w:val="24"/>
        </w:rPr>
      </w:pPr>
      <w:r w:rsidRPr="009F1C27">
        <w:rPr>
          <w:rFonts w:cs="Times New Roman"/>
          <w:color w:val="000000" w:themeColor="text1"/>
          <w:szCs w:val="24"/>
        </w:rPr>
        <w:t xml:space="preserve">AI governance is too often framed either as a matter of organizational ethics or as a matter of international competition. The two source publications synthesized here show why that division is unsustainable. Batool et al. (2025) demonstrate that AI governance is already multi-level and institutionally diverse. Emery-Xu et al. (2025) demonstrate that advancing AI, </w:t>
      </w:r>
      <w:r w:rsidRPr="009F1C27">
        <w:rPr>
          <w:rFonts w:cs="Times New Roman"/>
          <w:color w:val="000000" w:themeColor="text1"/>
          <w:szCs w:val="24"/>
        </w:rPr>
        <w:lastRenderedPageBreak/>
        <w:t>especially in dual-use and transformative forms, generates strategic pressures that lower-level governance mechanisms may not be able to manage on their own.</w:t>
      </w:r>
    </w:p>
    <w:p w14:paraId="7DB664BF" w14:textId="77777777" w:rsidR="00802054" w:rsidRPr="009F1C27" w:rsidRDefault="00000000" w:rsidP="009F1C27">
      <w:pPr>
        <w:ind w:firstLine="720"/>
        <w:jc w:val="both"/>
        <w:rPr>
          <w:rFonts w:cs="Times New Roman"/>
          <w:color w:val="000000" w:themeColor="text1"/>
          <w:szCs w:val="24"/>
        </w:rPr>
      </w:pPr>
      <w:r w:rsidRPr="009F1C27">
        <w:rPr>
          <w:rFonts w:cs="Times New Roman"/>
          <w:color w:val="000000" w:themeColor="text1"/>
          <w:szCs w:val="24"/>
        </w:rPr>
        <w:t>The central conclusion of this paper is therefore that AI governance must be conceived as a multi-level, stage-sensitive architecture. Team and organizational governance remain essential. Industry and standards-based governance provide coordination and translation. National governance supplies public authority. International governance addresses frontier risks, proliferation, and strategic competition. No single layer can carry the burden alone.</w:t>
      </w:r>
    </w:p>
    <w:p w14:paraId="5943F4F0" w14:textId="0209E909" w:rsidR="00802054" w:rsidRPr="009F1C27" w:rsidRDefault="00000000" w:rsidP="009F1C27">
      <w:pPr>
        <w:jc w:val="both"/>
        <w:rPr>
          <w:rFonts w:cs="Times New Roman"/>
          <w:color w:val="000000" w:themeColor="text1"/>
          <w:szCs w:val="24"/>
        </w:rPr>
      </w:pPr>
      <w:r w:rsidRPr="009F1C27">
        <w:rPr>
          <w:rFonts w:cs="Times New Roman"/>
          <w:b/>
          <w:color w:val="000000" w:themeColor="text1"/>
          <w:szCs w:val="24"/>
        </w:rPr>
        <w:t xml:space="preserve">Table </w:t>
      </w:r>
      <w:r w:rsidR="00396F1F" w:rsidRPr="009F1C27">
        <w:rPr>
          <w:rFonts w:cs="Times New Roman"/>
          <w:b/>
          <w:color w:val="000000" w:themeColor="text1"/>
          <w:szCs w:val="24"/>
        </w:rPr>
        <w:t xml:space="preserve">1 </w:t>
      </w:r>
      <w:r w:rsidRPr="009F1C27">
        <w:rPr>
          <w:rFonts w:cs="Times New Roman"/>
          <w:b/>
          <w:color w:val="000000" w:themeColor="text1"/>
          <w:szCs w:val="24"/>
        </w:rPr>
        <w:t>Integrated multi-level and stage-sensitive AI governance architecture</w:t>
      </w:r>
    </w:p>
    <w:tbl>
      <w:tblPr>
        <w:tblStyle w:val="aff1"/>
        <w:tblW w:w="0" w:type="auto"/>
        <w:jc w:val="center"/>
        <w:tblLook w:val="04A0" w:firstRow="1" w:lastRow="0" w:firstColumn="1" w:lastColumn="0" w:noHBand="0" w:noVBand="1"/>
      </w:tblPr>
      <w:tblGrid>
        <w:gridCol w:w="1896"/>
        <w:gridCol w:w="2628"/>
        <w:gridCol w:w="2335"/>
        <w:gridCol w:w="2717"/>
      </w:tblGrid>
      <w:tr w:rsidR="00396F1F" w:rsidRPr="009F1C27" w14:paraId="6D9AE77B" w14:textId="77777777">
        <w:trPr>
          <w:jc w:val="center"/>
        </w:trPr>
        <w:tc>
          <w:tcPr>
            <w:tcW w:w="2016" w:type="dxa"/>
          </w:tcPr>
          <w:p w14:paraId="1F187747" w14:textId="77777777" w:rsidR="00802054" w:rsidRPr="009F1C27" w:rsidRDefault="00000000" w:rsidP="009F1C27">
            <w:pPr>
              <w:jc w:val="both"/>
              <w:rPr>
                <w:rFonts w:cs="Times New Roman"/>
                <w:color w:val="000000" w:themeColor="text1"/>
                <w:szCs w:val="24"/>
              </w:rPr>
            </w:pPr>
            <w:r w:rsidRPr="009F1C27">
              <w:rPr>
                <w:rFonts w:cs="Times New Roman"/>
                <w:b/>
                <w:color w:val="000000" w:themeColor="text1"/>
                <w:szCs w:val="24"/>
              </w:rPr>
              <w:t>Governance layer</w:t>
            </w:r>
          </w:p>
        </w:tc>
        <w:tc>
          <w:tcPr>
            <w:tcW w:w="2880" w:type="dxa"/>
          </w:tcPr>
          <w:p w14:paraId="08A49B57" w14:textId="77777777" w:rsidR="00802054" w:rsidRPr="009F1C27" w:rsidRDefault="00000000" w:rsidP="009F1C27">
            <w:pPr>
              <w:jc w:val="both"/>
              <w:rPr>
                <w:rFonts w:cs="Times New Roman"/>
                <w:color w:val="000000" w:themeColor="text1"/>
                <w:szCs w:val="24"/>
              </w:rPr>
            </w:pPr>
            <w:r w:rsidRPr="009F1C27">
              <w:rPr>
                <w:rFonts w:cs="Times New Roman"/>
                <w:b/>
                <w:color w:val="000000" w:themeColor="text1"/>
                <w:szCs w:val="24"/>
              </w:rPr>
              <w:t>Typical mechanisms</w:t>
            </w:r>
          </w:p>
        </w:tc>
        <w:tc>
          <w:tcPr>
            <w:tcW w:w="2592" w:type="dxa"/>
          </w:tcPr>
          <w:p w14:paraId="2DE80317" w14:textId="77777777" w:rsidR="00802054" w:rsidRPr="009F1C27" w:rsidRDefault="00000000" w:rsidP="009F1C27">
            <w:pPr>
              <w:jc w:val="both"/>
              <w:rPr>
                <w:rFonts w:cs="Times New Roman"/>
                <w:color w:val="000000" w:themeColor="text1"/>
                <w:szCs w:val="24"/>
              </w:rPr>
            </w:pPr>
            <w:r w:rsidRPr="009F1C27">
              <w:rPr>
                <w:rFonts w:cs="Times New Roman"/>
                <w:b/>
                <w:color w:val="000000" w:themeColor="text1"/>
                <w:szCs w:val="24"/>
              </w:rPr>
              <w:t>Primary strengths</w:t>
            </w:r>
          </w:p>
        </w:tc>
        <w:tc>
          <w:tcPr>
            <w:tcW w:w="3024" w:type="dxa"/>
          </w:tcPr>
          <w:p w14:paraId="38CB62D2" w14:textId="77777777" w:rsidR="00802054" w:rsidRPr="009F1C27" w:rsidRDefault="00000000" w:rsidP="009F1C27">
            <w:pPr>
              <w:jc w:val="both"/>
              <w:rPr>
                <w:rFonts w:cs="Times New Roman"/>
                <w:color w:val="000000" w:themeColor="text1"/>
                <w:szCs w:val="24"/>
              </w:rPr>
            </w:pPr>
            <w:r w:rsidRPr="009F1C27">
              <w:rPr>
                <w:rFonts w:cs="Times New Roman"/>
                <w:b/>
                <w:color w:val="000000" w:themeColor="text1"/>
                <w:szCs w:val="24"/>
              </w:rPr>
              <w:t>Main limits under frontier competition</w:t>
            </w:r>
          </w:p>
        </w:tc>
      </w:tr>
      <w:tr w:rsidR="00396F1F" w:rsidRPr="009F1C27" w14:paraId="71DA975A" w14:textId="77777777">
        <w:trPr>
          <w:jc w:val="center"/>
        </w:trPr>
        <w:tc>
          <w:tcPr>
            <w:tcW w:w="2016" w:type="dxa"/>
            <w:vAlign w:val="center"/>
          </w:tcPr>
          <w:p w14:paraId="6AAF47AD" w14:textId="77777777" w:rsidR="00802054" w:rsidRPr="009F1C27" w:rsidRDefault="00000000" w:rsidP="009F1C27">
            <w:pPr>
              <w:spacing w:line="264" w:lineRule="auto"/>
              <w:jc w:val="both"/>
              <w:rPr>
                <w:rFonts w:cs="Times New Roman"/>
                <w:color w:val="000000" w:themeColor="text1"/>
                <w:szCs w:val="24"/>
              </w:rPr>
            </w:pPr>
            <w:r w:rsidRPr="009F1C27">
              <w:rPr>
                <w:rFonts w:cs="Times New Roman"/>
                <w:color w:val="000000" w:themeColor="text1"/>
                <w:szCs w:val="24"/>
              </w:rPr>
              <w:t>Team and organization</w:t>
            </w:r>
          </w:p>
        </w:tc>
        <w:tc>
          <w:tcPr>
            <w:tcW w:w="2880" w:type="dxa"/>
            <w:vAlign w:val="center"/>
          </w:tcPr>
          <w:p w14:paraId="615DAA90" w14:textId="77777777" w:rsidR="00802054" w:rsidRPr="009F1C27" w:rsidRDefault="00000000" w:rsidP="009F1C27">
            <w:pPr>
              <w:spacing w:line="264" w:lineRule="auto"/>
              <w:jc w:val="both"/>
              <w:rPr>
                <w:rFonts w:cs="Times New Roman"/>
                <w:color w:val="000000" w:themeColor="text1"/>
                <w:szCs w:val="24"/>
              </w:rPr>
            </w:pPr>
            <w:r w:rsidRPr="009F1C27">
              <w:rPr>
                <w:rFonts w:cs="Times New Roman"/>
                <w:color w:val="000000" w:themeColor="text1"/>
                <w:szCs w:val="24"/>
              </w:rPr>
              <w:t>Responsible AI patterns, documentation, review procedures, human oversight</w:t>
            </w:r>
          </w:p>
        </w:tc>
        <w:tc>
          <w:tcPr>
            <w:tcW w:w="2592" w:type="dxa"/>
            <w:vAlign w:val="center"/>
          </w:tcPr>
          <w:p w14:paraId="616533AC" w14:textId="77777777" w:rsidR="00802054" w:rsidRPr="009F1C27" w:rsidRDefault="00000000" w:rsidP="009F1C27">
            <w:pPr>
              <w:spacing w:line="264" w:lineRule="auto"/>
              <w:jc w:val="both"/>
              <w:rPr>
                <w:rFonts w:cs="Times New Roman"/>
                <w:color w:val="000000" w:themeColor="text1"/>
                <w:szCs w:val="24"/>
              </w:rPr>
            </w:pPr>
            <w:r w:rsidRPr="009F1C27">
              <w:rPr>
                <w:rFonts w:cs="Times New Roman"/>
                <w:color w:val="000000" w:themeColor="text1"/>
                <w:szCs w:val="24"/>
              </w:rPr>
              <w:t>Closest to design decisions and deployment practice</w:t>
            </w:r>
          </w:p>
        </w:tc>
        <w:tc>
          <w:tcPr>
            <w:tcW w:w="3024" w:type="dxa"/>
            <w:vAlign w:val="center"/>
          </w:tcPr>
          <w:p w14:paraId="027C33C4" w14:textId="77777777" w:rsidR="00802054" w:rsidRPr="009F1C27" w:rsidRDefault="00000000" w:rsidP="009F1C27">
            <w:pPr>
              <w:spacing w:line="264" w:lineRule="auto"/>
              <w:jc w:val="both"/>
              <w:rPr>
                <w:rFonts w:cs="Times New Roman"/>
                <w:color w:val="000000" w:themeColor="text1"/>
                <w:szCs w:val="24"/>
              </w:rPr>
            </w:pPr>
            <w:r w:rsidRPr="009F1C27">
              <w:rPr>
                <w:rFonts w:cs="Times New Roman"/>
                <w:color w:val="000000" w:themeColor="text1"/>
                <w:szCs w:val="24"/>
              </w:rPr>
              <w:t>Can be undermined by speed, incentives, and uneven organizational commitment</w:t>
            </w:r>
          </w:p>
        </w:tc>
      </w:tr>
      <w:tr w:rsidR="00396F1F" w:rsidRPr="009F1C27" w14:paraId="1FFE173E" w14:textId="77777777">
        <w:trPr>
          <w:jc w:val="center"/>
        </w:trPr>
        <w:tc>
          <w:tcPr>
            <w:tcW w:w="2016" w:type="dxa"/>
            <w:vAlign w:val="center"/>
          </w:tcPr>
          <w:p w14:paraId="69ED5DE4" w14:textId="77777777" w:rsidR="00802054" w:rsidRPr="009F1C27" w:rsidRDefault="00000000" w:rsidP="009F1C27">
            <w:pPr>
              <w:spacing w:line="264" w:lineRule="auto"/>
              <w:jc w:val="both"/>
              <w:rPr>
                <w:rFonts w:cs="Times New Roman"/>
                <w:color w:val="000000" w:themeColor="text1"/>
                <w:szCs w:val="24"/>
              </w:rPr>
            </w:pPr>
            <w:r w:rsidRPr="009F1C27">
              <w:rPr>
                <w:rFonts w:cs="Times New Roman"/>
                <w:color w:val="000000" w:themeColor="text1"/>
                <w:szCs w:val="24"/>
              </w:rPr>
              <w:t>Industry and standards</w:t>
            </w:r>
          </w:p>
        </w:tc>
        <w:tc>
          <w:tcPr>
            <w:tcW w:w="2880" w:type="dxa"/>
            <w:vAlign w:val="center"/>
          </w:tcPr>
          <w:p w14:paraId="5237F0E2" w14:textId="77777777" w:rsidR="00802054" w:rsidRPr="009F1C27" w:rsidRDefault="00000000" w:rsidP="009F1C27">
            <w:pPr>
              <w:spacing w:line="264" w:lineRule="auto"/>
              <w:jc w:val="both"/>
              <w:rPr>
                <w:rFonts w:cs="Times New Roman"/>
                <w:color w:val="000000" w:themeColor="text1"/>
                <w:szCs w:val="24"/>
              </w:rPr>
            </w:pPr>
            <w:r w:rsidRPr="009F1C27">
              <w:rPr>
                <w:rFonts w:cs="Times New Roman"/>
                <w:color w:val="000000" w:themeColor="text1"/>
                <w:szCs w:val="24"/>
              </w:rPr>
              <w:t>Shared norms, technical standards, professional guidance, benchmarks</w:t>
            </w:r>
          </w:p>
        </w:tc>
        <w:tc>
          <w:tcPr>
            <w:tcW w:w="2592" w:type="dxa"/>
            <w:vAlign w:val="center"/>
          </w:tcPr>
          <w:p w14:paraId="4720EE02" w14:textId="77777777" w:rsidR="00802054" w:rsidRPr="009F1C27" w:rsidRDefault="00000000" w:rsidP="009F1C27">
            <w:pPr>
              <w:spacing w:line="264" w:lineRule="auto"/>
              <w:jc w:val="both"/>
              <w:rPr>
                <w:rFonts w:cs="Times New Roman"/>
                <w:color w:val="000000" w:themeColor="text1"/>
                <w:szCs w:val="24"/>
              </w:rPr>
            </w:pPr>
            <w:r w:rsidRPr="009F1C27">
              <w:rPr>
                <w:rFonts w:cs="Times New Roman"/>
                <w:color w:val="000000" w:themeColor="text1"/>
                <w:szCs w:val="24"/>
              </w:rPr>
              <w:t>Helps harmonize practice and translate principles into operational routines</w:t>
            </w:r>
          </w:p>
        </w:tc>
        <w:tc>
          <w:tcPr>
            <w:tcW w:w="3024" w:type="dxa"/>
            <w:vAlign w:val="center"/>
          </w:tcPr>
          <w:p w14:paraId="5557AFBF" w14:textId="77777777" w:rsidR="00802054" w:rsidRPr="009F1C27" w:rsidRDefault="00000000" w:rsidP="009F1C27">
            <w:pPr>
              <w:spacing w:line="264" w:lineRule="auto"/>
              <w:jc w:val="both"/>
              <w:rPr>
                <w:rFonts w:cs="Times New Roman"/>
                <w:color w:val="000000" w:themeColor="text1"/>
                <w:szCs w:val="24"/>
              </w:rPr>
            </w:pPr>
            <w:r w:rsidRPr="009F1C27">
              <w:rPr>
                <w:rFonts w:cs="Times New Roman"/>
                <w:color w:val="000000" w:themeColor="text1"/>
                <w:szCs w:val="24"/>
              </w:rPr>
              <w:t>Often voluntary and weak where rivalry is intense</w:t>
            </w:r>
          </w:p>
        </w:tc>
      </w:tr>
      <w:tr w:rsidR="00396F1F" w:rsidRPr="009F1C27" w14:paraId="28AC49F3" w14:textId="77777777">
        <w:trPr>
          <w:jc w:val="center"/>
        </w:trPr>
        <w:tc>
          <w:tcPr>
            <w:tcW w:w="2016" w:type="dxa"/>
            <w:vAlign w:val="center"/>
          </w:tcPr>
          <w:p w14:paraId="71CE6BBB" w14:textId="77777777" w:rsidR="00802054" w:rsidRPr="009F1C27" w:rsidRDefault="00000000" w:rsidP="009F1C27">
            <w:pPr>
              <w:spacing w:line="264" w:lineRule="auto"/>
              <w:jc w:val="both"/>
              <w:rPr>
                <w:rFonts w:cs="Times New Roman"/>
                <w:color w:val="000000" w:themeColor="text1"/>
                <w:szCs w:val="24"/>
              </w:rPr>
            </w:pPr>
            <w:r w:rsidRPr="009F1C27">
              <w:rPr>
                <w:rFonts w:cs="Times New Roman"/>
                <w:color w:val="000000" w:themeColor="text1"/>
                <w:szCs w:val="24"/>
              </w:rPr>
              <w:t>National governance</w:t>
            </w:r>
          </w:p>
        </w:tc>
        <w:tc>
          <w:tcPr>
            <w:tcW w:w="2880" w:type="dxa"/>
            <w:vAlign w:val="center"/>
          </w:tcPr>
          <w:p w14:paraId="1707C658" w14:textId="77777777" w:rsidR="00802054" w:rsidRPr="009F1C27" w:rsidRDefault="00000000" w:rsidP="009F1C27">
            <w:pPr>
              <w:spacing w:line="264" w:lineRule="auto"/>
              <w:jc w:val="both"/>
              <w:rPr>
                <w:rFonts w:cs="Times New Roman"/>
                <w:color w:val="000000" w:themeColor="text1"/>
                <w:szCs w:val="24"/>
              </w:rPr>
            </w:pPr>
            <w:r w:rsidRPr="009F1C27">
              <w:rPr>
                <w:rFonts w:cs="Times New Roman"/>
                <w:color w:val="000000" w:themeColor="text1"/>
                <w:szCs w:val="24"/>
              </w:rPr>
              <w:t>Risk frameworks, public standards, procurement rules, export controls, liability and oversight</w:t>
            </w:r>
          </w:p>
        </w:tc>
        <w:tc>
          <w:tcPr>
            <w:tcW w:w="2592" w:type="dxa"/>
            <w:vAlign w:val="center"/>
          </w:tcPr>
          <w:p w14:paraId="2050D68B" w14:textId="77777777" w:rsidR="00802054" w:rsidRPr="009F1C27" w:rsidRDefault="00000000" w:rsidP="009F1C27">
            <w:pPr>
              <w:spacing w:line="264" w:lineRule="auto"/>
              <w:jc w:val="both"/>
              <w:rPr>
                <w:rFonts w:cs="Times New Roman"/>
                <w:color w:val="000000" w:themeColor="text1"/>
                <w:szCs w:val="24"/>
              </w:rPr>
            </w:pPr>
            <w:r w:rsidRPr="009F1C27">
              <w:rPr>
                <w:rFonts w:cs="Times New Roman"/>
                <w:color w:val="000000" w:themeColor="text1"/>
                <w:szCs w:val="24"/>
              </w:rPr>
              <w:t>Provides legal authority and can target domestic actors directly</w:t>
            </w:r>
          </w:p>
        </w:tc>
        <w:tc>
          <w:tcPr>
            <w:tcW w:w="3024" w:type="dxa"/>
            <w:vAlign w:val="center"/>
          </w:tcPr>
          <w:p w14:paraId="58434B4A" w14:textId="77777777" w:rsidR="00802054" w:rsidRPr="009F1C27" w:rsidRDefault="00000000" w:rsidP="009F1C27">
            <w:pPr>
              <w:spacing w:line="264" w:lineRule="auto"/>
              <w:jc w:val="both"/>
              <w:rPr>
                <w:rFonts w:cs="Times New Roman"/>
                <w:color w:val="000000" w:themeColor="text1"/>
                <w:szCs w:val="24"/>
              </w:rPr>
            </w:pPr>
            <w:r w:rsidRPr="009F1C27">
              <w:rPr>
                <w:rFonts w:cs="Times New Roman"/>
                <w:color w:val="000000" w:themeColor="text1"/>
                <w:szCs w:val="24"/>
              </w:rPr>
              <w:t>Can trigger arbitrage or be weakened by international races</w:t>
            </w:r>
          </w:p>
        </w:tc>
      </w:tr>
      <w:tr w:rsidR="00396F1F" w:rsidRPr="009F1C27" w14:paraId="4AA3E26B" w14:textId="77777777">
        <w:trPr>
          <w:jc w:val="center"/>
        </w:trPr>
        <w:tc>
          <w:tcPr>
            <w:tcW w:w="2016" w:type="dxa"/>
            <w:vAlign w:val="center"/>
          </w:tcPr>
          <w:p w14:paraId="749DB09D" w14:textId="77777777" w:rsidR="00802054" w:rsidRPr="009F1C27" w:rsidRDefault="00000000" w:rsidP="009F1C27">
            <w:pPr>
              <w:spacing w:line="264" w:lineRule="auto"/>
              <w:jc w:val="both"/>
              <w:rPr>
                <w:rFonts w:cs="Times New Roman"/>
                <w:color w:val="000000" w:themeColor="text1"/>
                <w:szCs w:val="24"/>
              </w:rPr>
            </w:pPr>
            <w:r w:rsidRPr="009F1C27">
              <w:rPr>
                <w:rFonts w:cs="Times New Roman"/>
                <w:color w:val="000000" w:themeColor="text1"/>
                <w:szCs w:val="24"/>
              </w:rPr>
              <w:t>International governance</w:t>
            </w:r>
          </w:p>
        </w:tc>
        <w:tc>
          <w:tcPr>
            <w:tcW w:w="2880" w:type="dxa"/>
            <w:vAlign w:val="center"/>
          </w:tcPr>
          <w:p w14:paraId="608D5FDC" w14:textId="77777777" w:rsidR="00802054" w:rsidRPr="009F1C27" w:rsidRDefault="00000000" w:rsidP="009F1C27">
            <w:pPr>
              <w:spacing w:line="264" w:lineRule="auto"/>
              <w:jc w:val="both"/>
              <w:rPr>
                <w:rFonts w:cs="Times New Roman"/>
                <w:color w:val="000000" w:themeColor="text1"/>
                <w:szCs w:val="24"/>
              </w:rPr>
            </w:pPr>
            <w:r w:rsidRPr="009F1C27">
              <w:rPr>
                <w:rFonts w:cs="Times New Roman"/>
                <w:color w:val="000000" w:themeColor="text1"/>
                <w:szCs w:val="24"/>
              </w:rPr>
              <w:t>Norms of use, non-proliferation approaches, verification, compute restrictions, coordination regimes</w:t>
            </w:r>
          </w:p>
        </w:tc>
        <w:tc>
          <w:tcPr>
            <w:tcW w:w="2592" w:type="dxa"/>
            <w:vAlign w:val="center"/>
          </w:tcPr>
          <w:p w14:paraId="2AA35942" w14:textId="77777777" w:rsidR="00802054" w:rsidRPr="009F1C27" w:rsidRDefault="00000000" w:rsidP="009F1C27">
            <w:pPr>
              <w:spacing w:line="264" w:lineRule="auto"/>
              <w:jc w:val="both"/>
              <w:rPr>
                <w:rFonts w:cs="Times New Roman"/>
                <w:color w:val="000000" w:themeColor="text1"/>
                <w:szCs w:val="24"/>
              </w:rPr>
            </w:pPr>
            <w:r w:rsidRPr="009F1C27">
              <w:rPr>
                <w:rFonts w:cs="Times New Roman"/>
                <w:color w:val="000000" w:themeColor="text1"/>
                <w:szCs w:val="24"/>
              </w:rPr>
              <w:t>Addresses cross-border spillovers and strategic externalities</w:t>
            </w:r>
          </w:p>
        </w:tc>
        <w:tc>
          <w:tcPr>
            <w:tcW w:w="3024" w:type="dxa"/>
            <w:vAlign w:val="center"/>
          </w:tcPr>
          <w:p w14:paraId="57A406C0" w14:textId="77777777" w:rsidR="00802054" w:rsidRPr="009F1C27" w:rsidRDefault="00000000" w:rsidP="009F1C27">
            <w:pPr>
              <w:spacing w:line="264" w:lineRule="auto"/>
              <w:jc w:val="both"/>
              <w:rPr>
                <w:rFonts w:cs="Times New Roman"/>
                <w:color w:val="000000" w:themeColor="text1"/>
                <w:szCs w:val="24"/>
              </w:rPr>
            </w:pPr>
            <w:r w:rsidRPr="009F1C27">
              <w:rPr>
                <w:rFonts w:cs="Times New Roman"/>
                <w:color w:val="000000" w:themeColor="text1"/>
                <w:szCs w:val="24"/>
              </w:rPr>
              <w:t>Faces sovereignty, monitoring, and enforcement challenges</w:t>
            </w:r>
          </w:p>
        </w:tc>
      </w:tr>
    </w:tbl>
    <w:p w14:paraId="0C320794" w14:textId="77777777" w:rsidR="00802054" w:rsidRPr="009F1C27" w:rsidRDefault="00000000" w:rsidP="009F1C27">
      <w:pPr>
        <w:jc w:val="both"/>
        <w:rPr>
          <w:rFonts w:cs="Times New Roman"/>
          <w:color w:val="000000" w:themeColor="text1"/>
          <w:szCs w:val="24"/>
        </w:rPr>
      </w:pPr>
      <w:r w:rsidRPr="009F1C27">
        <w:rPr>
          <w:rFonts w:cs="Times New Roman"/>
          <w:color w:val="000000" w:themeColor="text1"/>
          <w:szCs w:val="24"/>
        </w:rPr>
        <w:br w:type="page"/>
      </w:r>
    </w:p>
    <w:p w14:paraId="76597109" w14:textId="77777777" w:rsidR="00802054" w:rsidRPr="009F1C27" w:rsidRDefault="00000000" w:rsidP="009F1C27">
      <w:pPr>
        <w:pStyle w:val="1"/>
        <w:jc w:val="both"/>
        <w:rPr>
          <w:rFonts w:ascii="Times New Roman" w:hAnsi="Times New Roman" w:cs="Times New Roman"/>
          <w:color w:val="000000" w:themeColor="text1"/>
          <w:sz w:val="24"/>
          <w:szCs w:val="24"/>
        </w:rPr>
      </w:pPr>
      <w:r w:rsidRPr="009F1C27">
        <w:rPr>
          <w:rFonts w:ascii="Times New Roman" w:hAnsi="Times New Roman" w:cs="Times New Roman"/>
          <w:color w:val="000000" w:themeColor="text1"/>
          <w:sz w:val="24"/>
          <w:szCs w:val="24"/>
        </w:rPr>
        <w:lastRenderedPageBreak/>
        <w:t>References</w:t>
      </w:r>
    </w:p>
    <w:p w14:paraId="60524FEB" w14:textId="77777777" w:rsidR="00802054" w:rsidRPr="009F1C27" w:rsidRDefault="00000000" w:rsidP="009F1C27">
      <w:pPr>
        <w:ind w:left="720" w:hanging="720"/>
        <w:jc w:val="both"/>
        <w:rPr>
          <w:rFonts w:cs="Times New Roman"/>
          <w:color w:val="000000" w:themeColor="text1"/>
          <w:szCs w:val="24"/>
        </w:rPr>
      </w:pPr>
      <w:r w:rsidRPr="009F1C27">
        <w:rPr>
          <w:rFonts w:cs="Times New Roman"/>
          <w:color w:val="000000" w:themeColor="text1"/>
          <w:szCs w:val="24"/>
        </w:rPr>
        <w:t>Abbas, A., Mahrishi, M., &amp; Mishra, D. (2023). Artificial intelligence (AI) governance in higher education: A meta-analytic systematic review. SSRN 4657675.</w:t>
      </w:r>
    </w:p>
    <w:p w14:paraId="50D0C88E" w14:textId="77777777" w:rsidR="00802054" w:rsidRPr="009F1C27" w:rsidRDefault="00000000" w:rsidP="009F1C27">
      <w:pPr>
        <w:ind w:left="720" w:hanging="720"/>
        <w:jc w:val="both"/>
        <w:rPr>
          <w:rFonts w:cs="Times New Roman"/>
          <w:color w:val="000000" w:themeColor="text1"/>
          <w:szCs w:val="24"/>
          <w:lang w:eastAsia="zh-CN"/>
        </w:rPr>
      </w:pPr>
      <w:r w:rsidRPr="009F1C27">
        <w:rPr>
          <w:rFonts w:cs="Times New Roman"/>
          <w:color w:val="000000" w:themeColor="text1"/>
          <w:szCs w:val="24"/>
        </w:rPr>
        <w:t>Ahmed, N., &amp; Wahed, M. (2020). The de-democratization of AI: Deep learning and the compute divide in artificial intelligence research. arXiv:2010.15581.</w:t>
      </w:r>
    </w:p>
    <w:p w14:paraId="74AAD5C9" w14:textId="77777777" w:rsidR="00802054" w:rsidRPr="009F1C27" w:rsidRDefault="00000000" w:rsidP="009F1C27">
      <w:pPr>
        <w:ind w:left="720" w:hanging="720"/>
        <w:jc w:val="both"/>
        <w:rPr>
          <w:rFonts w:cs="Times New Roman"/>
          <w:color w:val="000000" w:themeColor="text1"/>
          <w:szCs w:val="24"/>
        </w:rPr>
      </w:pPr>
      <w:r w:rsidRPr="009F1C27">
        <w:rPr>
          <w:rFonts w:cs="Times New Roman"/>
          <w:color w:val="000000" w:themeColor="text1"/>
          <w:szCs w:val="24"/>
        </w:rPr>
        <w:t>Allen, G. C. (2022). Choking off China’s access to the future of AI. Center for Strategic &amp; International Studies.</w:t>
      </w:r>
    </w:p>
    <w:p w14:paraId="58D876EE" w14:textId="77777777" w:rsidR="00802054" w:rsidRPr="009F1C27" w:rsidRDefault="00000000" w:rsidP="009F1C27">
      <w:pPr>
        <w:ind w:left="720" w:hanging="720"/>
        <w:jc w:val="both"/>
        <w:rPr>
          <w:rFonts w:cs="Times New Roman"/>
          <w:color w:val="000000" w:themeColor="text1"/>
          <w:szCs w:val="24"/>
        </w:rPr>
      </w:pPr>
      <w:r w:rsidRPr="009F1C27">
        <w:rPr>
          <w:rFonts w:cs="Times New Roman"/>
          <w:color w:val="000000" w:themeColor="text1"/>
          <w:szCs w:val="24"/>
        </w:rPr>
        <w:t>Armstrong, S., Bostrom, N., &amp; Shulman, C. (2016). Racing to the precipice: A model of artificial intelligence development. AI &amp; Society, 31, 201-206.</w:t>
      </w:r>
    </w:p>
    <w:p w14:paraId="03576C7F" w14:textId="77777777" w:rsidR="00802054" w:rsidRPr="009F1C27" w:rsidRDefault="00000000" w:rsidP="009F1C27">
      <w:pPr>
        <w:ind w:left="720" w:hanging="720"/>
        <w:jc w:val="both"/>
        <w:rPr>
          <w:rFonts w:cs="Times New Roman"/>
          <w:color w:val="000000" w:themeColor="text1"/>
          <w:szCs w:val="24"/>
        </w:rPr>
      </w:pPr>
      <w:r w:rsidRPr="009F1C27">
        <w:rPr>
          <w:rFonts w:cs="Times New Roman"/>
          <w:color w:val="000000" w:themeColor="text1"/>
          <w:szCs w:val="24"/>
        </w:rPr>
        <w:t>Axelrod, R. (1984). The evolution of cooperation. Basic Books.</w:t>
      </w:r>
    </w:p>
    <w:p w14:paraId="4BE9E40E" w14:textId="77777777" w:rsidR="00802054" w:rsidRPr="009F1C27" w:rsidRDefault="00000000" w:rsidP="009F1C27">
      <w:pPr>
        <w:ind w:left="720" w:hanging="720"/>
        <w:jc w:val="both"/>
        <w:rPr>
          <w:rFonts w:cs="Times New Roman"/>
          <w:color w:val="000000" w:themeColor="text1"/>
          <w:szCs w:val="24"/>
        </w:rPr>
      </w:pPr>
      <w:r w:rsidRPr="009F1C27">
        <w:rPr>
          <w:rFonts w:cs="Times New Roman"/>
          <w:color w:val="000000" w:themeColor="text1"/>
          <w:szCs w:val="24"/>
        </w:rPr>
        <w:t>Batool, A., Zowghi, D., &amp; Bano, M. (2025). AI governance: A systematic literature review. AI and Ethics, 5, 3265-3279.</w:t>
      </w:r>
    </w:p>
    <w:p w14:paraId="66DED576" w14:textId="77777777" w:rsidR="00802054" w:rsidRPr="009F1C27" w:rsidRDefault="00000000" w:rsidP="009F1C27">
      <w:pPr>
        <w:ind w:left="720" w:hanging="720"/>
        <w:jc w:val="both"/>
        <w:rPr>
          <w:rFonts w:cs="Times New Roman"/>
          <w:color w:val="000000" w:themeColor="text1"/>
          <w:szCs w:val="24"/>
        </w:rPr>
      </w:pPr>
      <w:r w:rsidRPr="009F1C27">
        <w:rPr>
          <w:rFonts w:cs="Times New Roman"/>
          <w:color w:val="000000" w:themeColor="text1"/>
          <w:szCs w:val="24"/>
        </w:rPr>
        <w:t>Brundage, M., et al. (2018). The malicious use of artificial intelligence. arXiv:1802.07228.</w:t>
      </w:r>
    </w:p>
    <w:p w14:paraId="0DAFEAAF" w14:textId="77777777" w:rsidR="00802054" w:rsidRPr="009F1C27" w:rsidRDefault="00000000" w:rsidP="009F1C27">
      <w:pPr>
        <w:ind w:left="720" w:hanging="720"/>
        <w:jc w:val="both"/>
        <w:rPr>
          <w:rFonts w:cs="Times New Roman"/>
          <w:color w:val="000000" w:themeColor="text1"/>
          <w:szCs w:val="24"/>
        </w:rPr>
      </w:pPr>
      <w:r w:rsidRPr="009F1C27">
        <w:rPr>
          <w:rFonts w:cs="Times New Roman"/>
          <w:color w:val="000000" w:themeColor="text1"/>
          <w:szCs w:val="24"/>
        </w:rPr>
        <w:t>Buchanan, B. (2020). The AI triad and what it means for national security strategy. Center for Security and Emerging Technology.</w:t>
      </w:r>
    </w:p>
    <w:p w14:paraId="30CAF4BF" w14:textId="77777777" w:rsidR="00802054" w:rsidRPr="009F1C27" w:rsidRDefault="00000000" w:rsidP="009F1C27">
      <w:pPr>
        <w:ind w:left="720" w:hanging="720"/>
        <w:jc w:val="both"/>
        <w:rPr>
          <w:rFonts w:cs="Times New Roman"/>
          <w:color w:val="000000" w:themeColor="text1"/>
          <w:szCs w:val="24"/>
        </w:rPr>
      </w:pPr>
      <w:r w:rsidRPr="009F1C27">
        <w:rPr>
          <w:rFonts w:cs="Times New Roman"/>
          <w:color w:val="000000" w:themeColor="text1"/>
          <w:szCs w:val="24"/>
        </w:rPr>
        <w:t>Cohen, J. (2018). After last week’s shock, scientists scramble to prevent more gene-edited babies. Science.</w:t>
      </w:r>
    </w:p>
    <w:p w14:paraId="751C0D90" w14:textId="77777777" w:rsidR="00802054" w:rsidRPr="009F1C27" w:rsidRDefault="00000000" w:rsidP="009F1C27">
      <w:pPr>
        <w:ind w:left="720" w:hanging="720"/>
        <w:jc w:val="both"/>
        <w:rPr>
          <w:rFonts w:cs="Times New Roman"/>
          <w:color w:val="000000" w:themeColor="text1"/>
          <w:szCs w:val="24"/>
        </w:rPr>
      </w:pPr>
      <w:r w:rsidRPr="009F1C27">
        <w:rPr>
          <w:rFonts w:cs="Times New Roman"/>
          <w:color w:val="000000" w:themeColor="text1"/>
          <w:szCs w:val="24"/>
        </w:rPr>
        <w:t>Collingridge, D. (1980). The social control of technology. St Martin’s Press.</w:t>
      </w:r>
    </w:p>
    <w:p w14:paraId="504146C5" w14:textId="77777777" w:rsidR="00802054" w:rsidRPr="009F1C27" w:rsidRDefault="00000000" w:rsidP="009F1C27">
      <w:pPr>
        <w:ind w:left="720" w:hanging="720"/>
        <w:jc w:val="both"/>
        <w:rPr>
          <w:rFonts w:cs="Times New Roman"/>
          <w:color w:val="000000" w:themeColor="text1"/>
          <w:szCs w:val="24"/>
        </w:rPr>
      </w:pPr>
      <w:r w:rsidRPr="009F1C27">
        <w:rPr>
          <w:rFonts w:cs="Times New Roman"/>
          <w:color w:val="000000" w:themeColor="text1"/>
          <w:szCs w:val="24"/>
        </w:rPr>
        <w:t>Corrêa, N. K., Galvão, C., Santos, J. W., Del Pino, C., Pinto, E. P., Barbosa, C., Massmann, D., Mambrini, R., Galvão, L., Terem, E., et al. (2023). Worldwide AI ethics: A review of 200 guidelines and recommendations for AI governance. Patterns, 4(10), 100857.</w:t>
      </w:r>
    </w:p>
    <w:p w14:paraId="7344DE56" w14:textId="77777777" w:rsidR="00802054" w:rsidRPr="009F1C27" w:rsidRDefault="00000000" w:rsidP="009F1C27">
      <w:pPr>
        <w:ind w:left="720" w:hanging="720"/>
        <w:jc w:val="both"/>
        <w:rPr>
          <w:rFonts w:cs="Times New Roman"/>
          <w:color w:val="000000" w:themeColor="text1"/>
          <w:szCs w:val="24"/>
        </w:rPr>
      </w:pPr>
      <w:r w:rsidRPr="009F1C27">
        <w:rPr>
          <w:rFonts w:cs="Times New Roman"/>
          <w:color w:val="000000" w:themeColor="text1"/>
          <w:szCs w:val="24"/>
        </w:rPr>
        <w:lastRenderedPageBreak/>
        <w:t>Emery-Xu, N., Jordan, R., &amp; Trager, R. (2025). International governance of advancing artificial intelligence. AI &amp; Society, 40, 3019-3044.</w:t>
      </w:r>
    </w:p>
    <w:p w14:paraId="3412833A" w14:textId="77777777" w:rsidR="00802054" w:rsidRPr="009F1C27" w:rsidRDefault="00000000" w:rsidP="009F1C27">
      <w:pPr>
        <w:ind w:left="720" w:hanging="720"/>
        <w:jc w:val="both"/>
        <w:rPr>
          <w:rFonts w:cs="Times New Roman"/>
          <w:color w:val="000000" w:themeColor="text1"/>
          <w:szCs w:val="24"/>
        </w:rPr>
      </w:pPr>
      <w:r w:rsidRPr="009F1C27">
        <w:rPr>
          <w:rFonts w:cs="Times New Roman"/>
          <w:color w:val="000000" w:themeColor="text1"/>
          <w:szCs w:val="24"/>
        </w:rPr>
        <w:t>Fredrickson, D. S. (1991). Asilomar and recombinant DNA: The end of the beginning. In K. E. Hanna (Ed.), Biomedical politics. National Academy Press.</w:t>
      </w:r>
    </w:p>
    <w:p w14:paraId="454116D2" w14:textId="77777777" w:rsidR="00802054" w:rsidRPr="009F1C27" w:rsidRDefault="00000000" w:rsidP="009F1C27">
      <w:pPr>
        <w:ind w:left="720" w:hanging="720"/>
        <w:jc w:val="both"/>
        <w:rPr>
          <w:rFonts w:cs="Times New Roman"/>
          <w:color w:val="000000" w:themeColor="text1"/>
          <w:szCs w:val="24"/>
        </w:rPr>
      </w:pPr>
      <w:r w:rsidRPr="009F1C27">
        <w:rPr>
          <w:rFonts w:cs="Times New Roman"/>
          <w:color w:val="000000" w:themeColor="text1"/>
          <w:szCs w:val="24"/>
        </w:rPr>
        <w:t>Horowitz, M. C. (2018). Artificial intelligence, international competition, and the balance of power. Texas National Security Review, 1(3).</w:t>
      </w:r>
    </w:p>
    <w:p w14:paraId="6D154C74" w14:textId="77777777" w:rsidR="00802054" w:rsidRPr="009F1C27" w:rsidRDefault="00000000" w:rsidP="009F1C27">
      <w:pPr>
        <w:ind w:left="720" w:hanging="720"/>
        <w:jc w:val="both"/>
        <w:rPr>
          <w:rFonts w:cs="Times New Roman"/>
          <w:color w:val="000000" w:themeColor="text1"/>
          <w:szCs w:val="24"/>
        </w:rPr>
      </w:pPr>
      <w:r w:rsidRPr="009F1C27">
        <w:rPr>
          <w:rFonts w:cs="Times New Roman"/>
          <w:color w:val="000000" w:themeColor="text1"/>
          <w:szCs w:val="24"/>
        </w:rPr>
        <w:t>Horowitz, M. C. (2020). Do emerging military technologies matter for international politics? Annual Review of Political Science, 23, 385-400.</w:t>
      </w:r>
    </w:p>
    <w:p w14:paraId="6522F9FF" w14:textId="77777777" w:rsidR="00802054" w:rsidRPr="009F1C27" w:rsidRDefault="00000000" w:rsidP="009F1C27">
      <w:pPr>
        <w:ind w:left="720" w:hanging="720"/>
        <w:jc w:val="both"/>
        <w:rPr>
          <w:rFonts w:cs="Times New Roman"/>
          <w:color w:val="000000" w:themeColor="text1"/>
          <w:szCs w:val="24"/>
        </w:rPr>
      </w:pPr>
      <w:r w:rsidRPr="009F1C27">
        <w:rPr>
          <w:rFonts w:cs="Times New Roman"/>
          <w:color w:val="000000" w:themeColor="text1"/>
          <w:szCs w:val="24"/>
        </w:rPr>
        <w:t>Horowitz, M. C. (2021). When speed kills: Lethal autonomous weapon systems, deterrence and stability. In T. Sechser, V. Narang, &amp; C. Talmadge (Eds.), Emerging technologies and international stability (pp. 144-168). Routledge.</w:t>
      </w:r>
    </w:p>
    <w:p w14:paraId="09DD8F38" w14:textId="77777777" w:rsidR="00802054" w:rsidRPr="009F1C27" w:rsidRDefault="00000000" w:rsidP="009F1C27">
      <w:pPr>
        <w:ind w:left="720" w:hanging="720"/>
        <w:jc w:val="both"/>
        <w:rPr>
          <w:rFonts w:cs="Times New Roman"/>
          <w:color w:val="000000" w:themeColor="text1"/>
          <w:szCs w:val="24"/>
        </w:rPr>
      </w:pPr>
      <w:r w:rsidRPr="009F1C27">
        <w:rPr>
          <w:rFonts w:cs="Times New Roman"/>
          <w:color w:val="000000" w:themeColor="text1"/>
          <w:szCs w:val="24"/>
        </w:rPr>
        <w:t>Jobin, A., Ienca, M., &amp; Vayena, E. (2019). The global landscape of AI ethics guidelines. Nature Machine Intelligence, 1(9), 389-399.</w:t>
      </w:r>
    </w:p>
    <w:p w14:paraId="13CC1A2F" w14:textId="77777777" w:rsidR="00802054" w:rsidRPr="009F1C27" w:rsidRDefault="00000000" w:rsidP="009F1C27">
      <w:pPr>
        <w:ind w:left="720" w:hanging="720"/>
        <w:jc w:val="both"/>
        <w:rPr>
          <w:rFonts w:cs="Times New Roman"/>
          <w:color w:val="000000" w:themeColor="text1"/>
          <w:szCs w:val="24"/>
        </w:rPr>
      </w:pPr>
      <w:r w:rsidRPr="009F1C27">
        <w:rPr>
          <w:rFonts w:cs="Times New Roman"/>
          <w:color w:val="000000" w:themeColor="text1"/>
          <w:szCs w:val="24"/>
        </w:rPr>
        <w:t>Keohane, R. O. (1984). After hegemony. Princeton University Press.</w:t>
      </w:r>
    </w:p>
    <w:p w14:paraId="18153174" w14:textId="77777777" w:rsidR="00802054" w:rsidRPr="009F1C27" w:rsidRDefault="00000000" w:rsidP="009F1C27">
      <w:pPr>
        <w:ind w:left="720" w:hanging="720"/>
        <w:jc w:val="both"/>
        <w:rPr>
          <w:rFonts w:cs="Times New Roman"/>
          <w:color w:val="000000" w:themeColor="text1"/>
          <w:szCs w:val="24"/>
        </w:rPr>
      </w:pPr>
      <w:r w:rsidRPr="009F1C27">
        <w:rPr>
          <w:rFonts w:cs="Times New Roman"/>
          <w:color w:val="000000" w:themeColor="text1"/>
          <w:szCs w:val="24"/>
        </w:rPr>
        <w:t>Khan, S. M., &amp; Mann, A. (2020). AI chips: What they are and why they matter. Center for Security and Emerging Technology.</w:t>
      </w:r>
    </w:p>
    <w:p w14:paraId="0016E159" w14:textId="77777777" w:rsidR="00802054" w:rsidRPr="009F1C27" w:rsidRDefault="00000000" w:rsidP="009F1C27">
      <w:pPr>
        <w:ind w:left="720" w:hanging="720"/>
        <w:jc w:val="both"/>
        <w:rPr>
          <w:rFonts w:cs="Times New Roman"/>
          <w:color w:val="000000" w:themeColor="text1"/>
          <w:szCs w:val="24"/>
        </w:rPr>
      </w:pPr>
      <w:r w:rsidRPr="009F1C27">
        <w:rPr>
          <w:rFonts w:cs="Times New Roman"/>
          <w:color w:val="000000" w:themeColor="text1"/>
          <w:szCs w:val="24"/>
        </w:rPr>
        <w:t>Knight, S., Shibani, A., &amp; Vincent, N. (2024). Ethical AI governance: Mapping a research ecosystem. AI and Ethics, 1-22.</w:t>
      </w:r>
    </w:p>
    <w:p w14:paraId="08CFBB46" w14:textId="77777777" w:rsidR="00802054" w:rsidRPr="009F1C27" w:rsidRDefault="00000000" w:rsidP="009F1C27">
      <w:pPr>
        <w:ind w:left="720" w:hanging="720"/>
        <w:jc w:val="both"/>
        <w:rPr>
          <w:rFonts w:cs="Times New Roman"/>
          <w:color w:val="000000" w:themeColor="text1"/>
          <w:szCs w:val="24"/>
        </w:rPr>
      </w:pPr>
      <w:r w:rsidRPr="009F1C27">
        <w:rPr>
          <w:rFonts w:cs="Times New Roman"/>
          <w:color w:val="000000" w:themeColor="text1"/>
          <w:szCs w:val="24"/>
        </w:rPr>
        <w:t>Lu, Q., Zhu, L., Xu, X., Whittle, J., Zowghi, D., &amp; Jacquet, A. (2022). Responsible AI pattern catalogue: A collection of best practices for AI governance and engineering. ACM Computing Surveys, 56, 1-35.</w:t>
      </w:r>
    </w:p>
    <w:p w14:paraId="245018CA" w14:textId="77777777" w:rsidR="00802054" w:rsidRPr="009F1C27" w:rsidRDefault="00000000" w:rsidP="009F1C27">
      <w:pPr>
        <w:ind w:left="720" w:hanging="720"/>
        <w:jc w:val="both"/>
        <w:rPr>
          <w:rFonts w:cs="Times New Roman"/>
          <w:color w:val="000000" w:themeColor="text1"/>
          <w:szCs w:val="24"/>
        </w:rPr>
      </w:pPr>
      <w:r w:rsidRPr="009F1C27">
        <w:rPr>
          <w:rFonts w:cs="Times New Roman"/>
          <w:color w:val="000000" w:themeColor="text1"/>
          <w:szCs w:val="24"/>
        </w:rPr>
        <w:lastRenderedPageBreak/>
        <w:t>Mäntymäki, M., Minkkinen, M., Birkstedt, T., &amp; Viljanen, M. (2022). Putting AI ethics into practice: The hourglass model of organizational AI governance. arXiv:2206.00335.</w:t>
      </w:r>
    </w:p>
    <w:p w14:paraId="2FD3D2E5" w14:textId="77777777" w:rsidR="00802054" w:rsidRPr="009F1C27" w:rsidRDefault="00000000" w:rsidP="009F1C27">
      <w:pPr>
        <w:ind w:left="720" w:hanging="720"/>
        <w:jc w:val="both"/>
        <w:rPr>
          <w:rFonts w:cs="Times New Roman"/>
          <w:color w:val="000000" w:themeColor="text1"/>
          <w:szCs w:val="24"/>
        </w:rPr>
      </w:pPr>
      <w:r w:rsidRPr="009F1C27">
        <w:rPr>
          <w:rFonts w:cs="Times New Roman"/>
          <w:color w:val="000000" w:themeColor="text1"/>
          <w:szCs w:val="24"/>
        </w:rPr>
        <w:t>Pierson, J., Kerr, A., Robinson, C., Fanni, R., Steinkogler, V., Milan, S., &amp; Zampedri, G. (2023). Governing artificial intelligence in the media and communications sector. Internet Policy Review, 12(1), 28.</w:t>
      </w:r>
    </w:p>
    <w:p w14:paraId="6C4E76DD" w14:textId="77777777" w:rsidR="00802054" w:rsidRPr="009F1C27" w:rsidRDefault="00000000" w:rsidP="009F1C27">
      <w:pPr>
        <w:ind w:left="720" w:hanging="720"/>
        <w:jc w:val="both"/>
        <w:rPr>
          <w:rFonts w:cs="Times New Roman"/>
          <w:color w:val="000000" w:themeColor="text1"/>
          <w:szCs w:val="24"/>
        </w:rPr>
      </w:pPr>
      <w:r w:rsidRPr="009F1C27">
        <w:rPr>
          <w:rFonts w:cs="Times New Roman"/>
          <w:color w:val="000000" w:themeColor="text1"/>
          <w:szCs w:val="24"/>
        </w:rPr>
        <w:t>Reddy, S., Allan, S., Coghlan, S., &amp; Cooper, P. (2020). A governance model for the application of AI in health care. Journal of the American Medical Informatics Association, 27(3), 491-497.</w:t>
      </w:r>
    </w:p>
    <w:p w14:paraId="1932F26A" w14:textId="77777777" w:rsidR="00802054" w:rsidRPr="009F1C27" w:rsidRDefault="00000000" w:rsidP="009F1C27">
      <w:pPr>
        <w:ind w:left="720" w:hanging="720"/>
        <w:jc w:val="both"/>
        <w:rPr>
          <w:rFonts w:cs="Times New Roman"/>
          <w:color w:val="000000" w:themeColor="text1"/>
          <w:szCs w:val="24"/>
        </w:rPr>
      </w:pPr>
      <w:r w:rsidRPr="009F1C27">
        <w:rPr>
          <w:rFonts w:cs="Times New Roman"/>
          <w:color w:val="000000" w:themeColor="text1"/>
          <w:szCs w:val="24"/>
        </w:rPr>
        <w:t>Stern, J. (2002). Dreaded risks and the control of biological weapons. International Security, 27(3), 89-123.</w:t>
      </w:r>
    </w:p>
    <w:p w14:paraId="528A7A70" w14:textId="77777777" w:rsidR="00802054" w:rsidRPr="009F1C27" w:rsidRDefault="00000000" w:rsidP="009F1C27">
      <w:pPr>
        <w:ind w:left="720" w:hanging="720"/>
        <w:jc w:val="both"/>
        <w:rPr>
          <w:rFonts w:cs="Times New Roman"/>
          <w:color w:val="000000" w:themeColor="text1"/>
          <w:szCs w:val="24"/>
        </w:rPr>
      </w:pPr>
      <w:r w:rsidRPr="009F1C27">
        <w:rPr>
          <w:rFonts w:cs="Times New Roman"/>
          <w:color w:val="000000" w:themeColor="text1"/>
          <w:szCs w:val="24"/>
        </w:rPr>
        <w:t>Stern, J. (2003). Dreaded risks and the control of biological weapons. International Security, 27(3), 89-123.</w:t>
      </w:r>
    </w:p>
    <w:p w14:paraId="258801CA" w14:textId="77777777" w:rsidR="00802054" w:rsidRPr="009F1C27" w:rsidRDefault="00000000" w:rsidP="009F1C27">
      <w:pPr>
        <w:ind w:left="720" w:hanging="720"/>
        <w:jc w:val="both"/>
        <w:rPr>
          <w:rFonts w:cs="Times New Roman"/>
          <w:color w:val="000000" w:themeColor="text1"/>
          <w:szCs w:val="24"/>
        </w:rPr>
      </w:pPr>
      <w:r w:rsidRPr="009F1C27">
        <w:rPr>
          <w:rFonts w:cs="Times New Roman"/>
          <w:color w:val="000000" w:themeColor="text1"/>
          <w:szCs w:val="24"/>
        </w:rPr>
        <w:t>Stogiannos, N., Malik, R., Kumar, A., Barnes, A., Pogose, M., Harvey, H., McEntee, M. F., &amp; Malamateniou, C. (2023). Black box no more: A scoping review of AI governance frameworks to guide procurement and adoption of AI in medical imaging and radiotherapy in the UK. British Journal of Radiology, 96(1152), 20221157.</w:t>
      </w:r>
    </w:p>
    <w:p w14:paraId="6DB979D2" w14:textId="77777777" w:rsidR="00802054" w:rsidRPr="009F1C27" w:rsidRDefault="00000000" w:rsidP="009F1C27">
      <w:pPr>
        <w:ind w:left="720" w:hanging="720"/>
        <w:jc w:val="both"/>
        <w:rPr>
          <w:rFonts w:cs="Times New Roman"/>
          <w:color w:val="000000" w:themeColor="text1"/>
          <w:szCs w:val="24"/>
        </w:rPr>
      </w:pPr>
      <w:r w:rsidRPr="009F1C27">
        <w:rPr>
          <w:rFonts w:cs="Times New Roman"/>
          <w:color w:val="000000" w:themeColor="text1"/>
          <w:szCs w:val="24"/>
        </w:rPr>
        <w:t>Wirtz, B. W., Weyerer, J. C., &amp; Sturm, B. J. (2020). The dark sides of artificial intelligence: An integrated AI governance framework for public administration. International Journal of Public Administration, 43(9), 818-829.</w:t>
      </w:r>
    </w:p>
    <w:sectPr w:rsidR="00802054" w:rsidRPr="009F1C27" w:rsidSect="00034616">
      <w:pgSz w:w="12240" w:h="15840"/>
      <w:pgMar w:top="1296"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2058584015">
    <w:abstractNumId w:val="8"/>
  </w:num>
  <w:num w:numId="2" w16cid:durableId="862205582">
    <w:abstractNumId w:val="6"/>
  </w:num>
  <w:num w:numId="3" w16cid:durableId="1322539991">
    <w:abstractNumId w:val="5"/>
  </w:num>
  <w:num w:numId="4" w16cid:durableId="1850680992">
    <w:abstractNumId w:val="4"/>
  </w:num>
  <w:num w:numId="5" w16cid:durableId="995110839">
    <w:abstractNumId w:val="7"/>
  </w:num>
  <w:num w:numId="6" w16cid:durableId="1046104356">
    <w:abstractNumId w:val="3"/>
  </w:num>
  <w:num w:numId="7" w16cid:durableId="1618175388">
    <w:abstractNumId w:val="2"/>
  </w:num>
  <w:num w:numId="8" w16cid:durableId="1079861688">
    <w:abstractNumId w:val="1"/>
  </w:num>
  <w:num w:numId="9" w16cid:durableId="1598100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bordersDoNotSurroundHeader/>
  <w:bordersDoNotSurroundFooter/>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C71DE"/>
    <w:rsid w:val="00326F90"/>
    <w:rsid w:val="00396F1F"/>
    <w:rsid w:val="00681A88"/>
    <w:rsid w:val="00802054"/>
    <w:rsid w:val="009F1C27"/>
    <w:rsid w:val="00A66DAD"/>
    <w:rsid w:val="00AA1D8D"/>
    <w:rsid w:val="00B47730"/>
    <w:rsid w:val="00CB0664"/>
    <w:rsid w:val="00EA0186"/>
    <w:rsid w:val="00F7230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459C5E"/>
  <w14:defaultImageDpi w14:val="300"/>
  <w15:docId w15:val="{3BB9EE26-7DCD-5844-86D4-EF42CAA78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line="480" w:lineRule="auto"/>
    </w:pPr>
    <w:rPr>
      <w:rFonts w:ascii="Times New Roman" w:eastAsia="Times New Roman" w:hAnsi="Times New Roman"/>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6"/>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页眉 字符"/>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页脚 字符"/>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标题 1 字符"/>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jc w:val="center"/>
    </w:pPr>
    <w:rPr>
      <w:rFonts w:asciiTheme="majorHAnsi" w:eastAsiaTheme="majorEastAsia" w:hAnsiTheme="majorHAnsi" w:cstheme="majorBidi"/>
      <w:b/>
      <w:color w:val="17365D" w:themeColor="text2" w:themeShade="BF"/>
      <w:spacing w:val="5"/>
      <w:kern w:val="28"/>
      <w:sz w:val="32"/>
      <w:szCs w:val="52"/>
    </w:rPr>
  </w:style>
  <w:style w:type="character" w:customStyle="1" w:styleId="ab">
    <w:name w:val="标题 字符"/>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副标题 字符"/>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正文文本 字符"/>
    <w:basedOn w:val="a2"/>
    <w:link w:val="af"/>
    <w:uiPriority w:val="99"/>
    <w:rsid w:val="00AA1D8D"/>
  </w:style>
  <w:style w:type="paragraph" w:styleId="23">
    <w:name w:val="Body Text 2"/>
    <w:basedOn w:val="a1"/>
    <w:link w:val="24"/>
    <w:uiPriority w:val="99"/>
    <w:unhideWhenUsed/>
    <w:rsid w:val="00AA1D8D"/>
    <w:pPr>
      <w:spacing w:after="120"/>
    </w:pPr>
  </w:style>
  <w:style w:type="character" w:customStyle="1" w:styleId="24">
    <w:name w:val="正文文本 2 字符"/>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正文文本 3 字符"/>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宏文本 字符"/>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 字符"/>
    <w:basedOn w:val="a2"/>
    <w:link w:val="af5"/>
    <w:uiPriority w:val="29"/>
    <w:rsid w:val="00FC693F"/>
    <w:rPr>
      <w:i/>
      <w:iCs/>
      <w:color w:val="000000" w:themeColor="text1"/>
    </w:rPr>
  </w:style>
  <w:style w:type="character" w:customStyle="1" w:styleId="40">
    <w:name w:val="标题 4 字符"/>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标题 6 字符"/>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标题 7 字符"/>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明显引用 字符"/>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f1">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9">
    <w:name w:val="Revision"/>
    <w:hidden/>
    <w:uiPriority w:val="99"/>
    <w:semiHidden/>
    <w:rsid w:val="00396F1F"/>
    <w:pPr>
      <w:spacing w:after="0" w:line="240" w:lineRule="auto"/>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5637</Words>
  <Characters>32136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37698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QINYAO</cp:lastModifiedBy>
  <cp:revision>4</cp:revision>
  <dcterms:created xsi:type="dcterms:W3CDTF">2013-12-23T23:15:00Z</dcterms:created>
  <dcterms:modified xsi:type="dcterms:W3CDTF">2026-04-09T03:13:00Z</dcterms:modified>
  <cp:category/>
</cp:coreProperties>
</file>