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64146" w14:textId="77777777" w:rsidR="00B043FB" w:rsidRDefault="00B043FB">
      <w:pPr>
        <w:rPr>
          <w:rFonts w:eastAsiaTheme="minorEastAsia"/>
        </w:rPr>
      </w:pPr>
    </w:p>
    <w:p w14:paraId="4462ECDA" w14:textId="77777777" w:rsidR="00B043FB" w:rsidRDefault="00B043FB">
      <w:pPr>
        <w:spacing w:after="120" w:line="340" w:lineRule="exact"/>
        <w:jc w:val="center"/>
        <w:rPr>
          <w:rFonts w:ascii="Arial Bold" w:eastAsia="宋体" w:hAnsi="Arial Bold" w:cs="Arial Bold"/>
          <w:b/>
          <w:bCs/>
          <w:iCs/>
          <w:sz w:val="28"/>
          <w:szCs w:val="28"/>
        </w:rPr>
      </w:pPr>
    </w:p>
    <w:p w14:paraId="2225398B" w14:textId="5B384A1E" w:rsidR="00B043FB" w:rsidRDefault="00C03AE1">
      <w:pPr>
        <w:spacing w:after="120"/>
        <w:jc w:val="center"/>
        <w:rPr>
          <w:rFonts w:ascii="Arial Bold" w:eastAsia="宋体" w:hAnsi="Arial Bold" w:cs="Arial Bold"/>
          <w:b/>
          <w:bCs/>
          <w:iCs/>
          <w:sz w:val="28"/>
          <w:szCs w:val="28"/>
        </w:rPr>
      </w:pPr>
      <w:r w:rsidRPr="00C03AE1">
        <w:rPr>
          <w:rFonts w:ascii="Arial Bold" w:eastAsia="宋体" w:hAnsi="Arial Bold" w:cs="Arial Bold"/>
          <w:b/>
          <w:bCs/>
          <w:iCs/>
          <w:sz w:val="40"/>
          <w:szCs w:val="40"/>
        </w:rPr>
        <w:t>Evaluating the Impacts of Land Use and Climate Change on Geological Disasters: A Study of the Yunnan Province</w:t>
      </w:r>
      <w:r>
        <w:rPr>
          <w:rFonts w:ascii="Arial Bold" w:eastAsia="宋体" w:hAnsi="Arial Bold" w:cs="Arial Bold" w:hint="eastAsia"/>
          <w:b/>
          <w:bCs/>
          <w:iCs/>
          <w:sz w:val="40"/>
          <w:szCs w:val="40"/>
        </w:rPr>
        <w:br/>
      </w:r>
    </w:p>
    <w:p w14:paraId="25CD27DB" w14:textId="1828414F" w:rsidR="00CF639F" w:rsidRPr="00CF639F" w:rsidRDefault="00CF639F" w:rsidP="00CF639F">
      <w:pPr>
        <w:pStyle w:val="a0"/>
        <w:jc w:val="center"/>
        <w:rPr>
          <w:rFonts w:ascii="Times New Roman Italic" w:eastAsia="t" w:hAnsi="Times New Roman Italic" w:cs="Times New Roman Italic"/>
          <w:b/>
          <w:bCs/>
          <w:sz w:val="24"/>
          <w:szCs w:val="24"/>
          <w:lang w:val="en-US" w:bidi="ar-SA"/>
        </w:rPr>
      </w:pPr>
      <w:r w:rsidRPr="00CF639F">
        <w:rPr>
          <w:rFonts w:ascii="Times New Roman Italic" w:eastAsia="t" w:hAnsi="Times New Roman Italic" w:cs="Times New Roman Italic"/>
          <w:b/>
          <w:bCs/>
          <w:sz w:val="24"/>
          <w:szCs w:val="24"/>
          <w:lang w:val="en-US" w:bidi="ar-SA"/>
        </w:rPr>
        <w:t xml:space="preserve">Daniel Amir Hafiz </w:t>
      </w:r>
      <w:r w:rsidRPr="00D150D9">
        <w:rPr>
          <w:rFonts w:ascii="Times New Roman Bold" w:hAnsi="Times New Roman Bold" w:cs="Times New Roman Bold"/>
          <w:b/>
          <w:bCs/>
          <w:sz w:val="24"/>
          <w:vertAlign w:val="superscript"/>
          <w:lang w:val="en-US"/>
        </w:rPr>
        <w:t>1*</w:t>
      </w:r>
    </w:p>
    <w:p w14:paraId="39D0B5FD" w14:textId="77777777" w:rsidR="00CF639F" w:rsidRDefault="00CF639F" w:rsidP="00CF639F">
      <w:pPr>
        <w:pStyle w:val="a0"/>
        <w:jc w:val="center"/>
        <w:rPr>
          <w:rFonts w:ascii="Times New Roman Italic" w:hAnsi="Times New Roman Italic" w:cs="Times New Roman Italic"/>
          <w:sz w:val="24"/>
          <w:lang w:val="en-US"/>
        </w:rPr>
      </w:pPr>
      <w:r w:rsidRPr="00CF639F">
        <w:rPr>
          <w:rFonts w:ascii="Times New Roman Bold" w:hAnsi="Times New Roman Bold" w:cs="Times New Roman Bold"/>
          <w:b/>
          <w:bCs/>
          <w:sz w:val="24"/>
          <w:vertAlign w:val="superscript"/>
          <w:lang w:val="en-US"/>
        </w:rPr>
        <w:t>1</w:t>
      </w:r>
      <w:r w:rsidRPr="00CF639F">
        <w:rPr>
          <w:rFonts w:ascii="Times New Roman Italic" w:hAnsi="Times New Roman Italic" w:cs="Times New Roman Italic"/>
          <w:sz w:val="24"/>
          <w:lang w:val="en-US"/>
        </w:rPr>
        <w:t>Kuala Lumpur University of Science &amp; Technology (KLUST)</w:t>
      </w:r>
    </w:p>
    <w:p w14:paraId="5928E347" w14:textId="3F62512B" w:rsidR="00CF639F" w:rsidRPr="00CF639F" w:rsidRDefault="00CF639F" w:rsidP="00CF639F">
      <w:pPr>
        <w:pStyle w:val="a0"/>
        <w:jc w:val="center"/>
        <w:rPr>
          <w:rFonts w:ascii="Times New Roman Italic" w:hAnsi="Times New Roman Italic" w:cs="Times New Roman Italic"/>
          <w:sz w:val="24"/>
          <w:highlight w:val="yellow"/>
          <w:lang w:val="en-US"/>
        </w:rPr>
      </w:pPr>
      <w:r w:rsidRPr="00CF639F">
        <w:rPr>
          <w:rFonts w:ascii="Times New Roman" w:eastAsia="t" w:hAnsi="Times New Roman" w:cstheme="minorBidi"/>
          <w:sz w:val="21"/>
          <w:szCs w:val="24"/>
          <w:lang w:val="en-US" w:bidi="ar-SA"/>
        </w:rPr>
        <w:t>Corresponding Author*: Daniel Amir Hafiz, E-mail: danielhafiz@um.edu.my</w:t>
      </w:r>
    </w:p>
    <w:p w14:paraId="7FFA9958" w14:textId="77777777" w:rsidR="00CF639F" w:rsidRPr="00CF639F" w:rsidRDefault="00CF639F" w:rsidP="00CF639F">
      <w:pPr>
        <w:pStyle w:val="a0"/>
        <w:rPr>
          <w:lang w:val="en-US" w:bidi="ar-SA"/>
        </w:rPr>
      </w:pPr>
    </w:p>
    <w:tbl>
      <w:tblPr>
        <w:tblStyle w:val="ab"/>
        <w:tblW w:w="488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813"/>
      </w:tblGrid>
      <w:tr w:rsidR="00B043FB" w14:paraId="76EFBDE9" w14:textId="77777777" w:rsidTr="00C03AE1">
        <w:trPr>
          <w:trHeight w:val="385"/>
        </w:trPr>
        <w:tc>
          <w:tcPr>
            <w:tcW w:w="1846" w:type="pct"/>
            <w:tcBorders>
              <w:top w:val="single" w:sz="4" w:space="0" w:color="auto"/>
              <w:bottom w:val="nil"/>
            </w:tcBorders>
            <w:vAlign w:val="center"/>
          </w:tcPr>
          <w:p w14:paraId="27DFA2AE" w14:textId="77777777" w:rsidR="00B043FB" w:rsidRDefault="00000000">
            <w:pPr>
              <w:pStyle w:val="a7"/>
              <w:pBdr>
                <w:top w:val="none" w:sz="0" w:space="0" w:color="auto"/>
                <w:left w:val="none" w:sz="0" w:space="0" w:color="auto"/>
                <w:bottom w:val="none" w:sz="0" w:space="0" w:color="auto"/>
                <w:right w:val="none" w:sz="0" w:space="0" w:color="auto"/>
              </w:pBdr>
              <w:jc w:val="left"/>
              <w:rPr>
                <w:rFonts w:eastAsia="微软雅黑" w:cs="Times New Roman"/>
                <w:b/>
                <w:bCs/>
                <w:sz w:val="20"/>
                <w:szCs w:val="20"/>
              </w:rPr>
            </w:pPr>
            <w:r>
              <w:rPr>
                <w:rFonts w:eastAsia="微软雅黑" w:cs="Times New Roman"/>
                <w:b/>
                <w:bCs/>
                <w:sz w:val="20"/>
                <w:szCs w:val="20"/>
              </w:rPr>
              <w:t>ARTICLE INFO</w:t>
            </w:r>
          </w:p>
        </w:tc>
        <w:tc>
          <w:tcPr>
            <w:tcW w:w="3154" w:type="pct"/>
            <w:vMerge w:val="restart"/>
          </w:tcPr>
          <w:p w14:paraId="4970BDD5" w14:textId="77777777" w:rsidR="00B043FB" w:rsidRDefault="00000000">
            <w:pPr>
              <w:pStyle w:val="a7"/>
              <w:rPr>
                <w:rFonts w:ascii="Times New Roman Bold" w:hAnsi="Times New Roman Bold" w:cs="Times New Roman Bold"/>
                <w:b/>
                <w:bCs/>
                <w:sz w:val="20"/>
                <w:szCs w:val="20"/>
              </w:rPr>
            </w:pPr>
            <w:r>
              <w:rPr>
                <w:rFonts w:ascii="Times New Roman Bold" w:hAnsi="Times New Roman Bold" w:cs="Times New Roman Bold"/>
                <w:b/>
                <w:bCs/>
                <w:sz w:val="20"/>
                <w:szCs w:val="20"/>
              </w:rPr>
              <w:t>ABSTRACT</w:t>
            </w:r>
          </w:p>
          <w:p w14:paraId="0A338E88" w14:textId="29EE8AB4" w:rsidR="00B043FB" w:rsidRDefault="00C03AE1">
            <w:pPr>
              <w:pStyle w:val="a7"/>
              <w:pBdr>
                <w:top w:val="none" w:sz="0" w:space="0" w:color="auto"/>
                <w:left w:val="none" w:sz="0" w:space="0" w:color="auto"/>
                <w:bottom w:val="none" w:sz="0" w:space="0" w:color="auto"/>
                <w:right w:val="none" w:sz="0" w:space="0" w:color="auto"/>
              </w:pBdr>
              <w:rPr>
                <w:rFonts w:cs="Times New Roman"/>
                <w:bCs/>
                <w:iCs/>
                <w:sz w:val="20"/>
                <w:szCs w:val="20"/>
              </w:rPr>
            </w:pPr>
            <w:r w:rsidRPr="00C03AE1">
              <w:rPr>
                <w:rFonts w:cs="Times New Roman"/>
                <w:bCs/>
                <w:iCs/>
                <w:sz w:val="20"/>
                <w:szCs w:val="20"/>
              </w:rPr>
              <w:t>Geological disasters are a significant concern in many regions, especially in areas with complex land use changes and varying climatic conditions. This paper examines the relationship between land use, climate change, and the occurrence of geological hazards, particularly focusing on Yunnan Province, China. Using data derived from a range of studies on land use/cover change (LUCC), vegetation dynamics, and ecosystem services, we explore how anthropogenic activities, such as urbanization and deforestation, interact with natural environmental factors like rainfall patterns and vegetation cover to exacerbate geological hazards. This study employs a combination of remote sensing techniques, statistical analysis, and ecosystem modeling to evaluate the ecological impact and predict future disaster risks in the region.</w:t>
            </w:r>
            <w:r w:rsidR="004D2F1F" w:rsidRPr="004D2F1F">
              <w:rPr>
                <w:rFonts w:cs="Times New Roman"/>
                <w:bCs/>
                <w:iCs/>
                <w:sz w:val="20"/>
                <w:szCs w:val="20"/>
              </w:rPr>
              <w:t xml:space="preserve"> </w:t>
            </w:r>
          </w:p>
        </w:tc>
      </w:tr>
      <w:tr w:rsidR="00B043FB" w14:paraId="10B9AF64" w14:textId="77777777" w:rsidTr="00C03AE1">
        <w:trPr>
          <w:trHeight w:val="336"/>
        </w:trPr>
        <w:tc>
          <w:tcPr>
            <w:tcW w:w="1846" w:type="pct"/>
            <w:tcBorders>
              <w:top w:val="single" w:sz="4" w:space="0" w:color="auto"/>
              <w:bottom w:val="nil"/>
            </w:tcBorders>
            <w:vAlign w:val="center"/>
          </w:tcPr>
          <w:p w14:paraId="0212FF8D" w14:textId="1A3F8F21" w:rsidR="00B043FB" w:rsidRPr="004D2F1F" w:rsidRDefault="00000000" w:rsidP="004D2F1F">
            <w:pPr>
              <w:pStyle w:val="a7"/>
              <w:jc w:val="left"/>
              <w:rPr>
                <w:rFonts w:eastAsia="Times New Roman" w:cs="Times New Roman"/>
                <w:kern w:val="0"/>
                <w:sz w:val="20"/>
                <w:szCs w:val="20"/>
                <w:lang w:bidi="ar"/>
              </w:rPr>
            </w:pPr>
            <w:r>
              <w:rPr>
                <w:rFonts w:eastAsia="Times New Roman" w:cs="Times New Roman" w:hint="eastAsia"/>
                <w:i/>
                <w:iCs/>
                <w:kern w:val="0"/>
                <w:sz w:val="20"/>
                <w:szCs w:val="20"/>
                <w:lang w:bidi="ar"/>
              </w:rPr>
              <w:t>Keywords</w:t>
            </w:r>
          </w:p>
          <w:p w14:paraId="7CFB3BD6" w14:textId="77777777" w:rsidR="00C03AE1" w:rsidRDefault="00C03AE1" w:rsidP="004D2F1F">
            <w:pPr>
              <w:pStyle w:val="a7"/>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r w:rsidRPr="00C03AE1">
              <w:rPr>
                <w:rFonts w:ascii="Times New Roman Bold" w:eastAsiaTheme="minorEastAsia" w:hAnsi="Times New Roman Bold" w:cs="Times New Roman Bold"/>
                <w:sz w:val="20"/>
              </w:rPr>
              <w:t>Land use</w:t>
            </w:r>
          </w:p>
          <w:p w14:paraId="5DB71A67" w14:textId="77777777" w:rsidR="00C03AE1" w:rsidRDefault="00C03AE1" w:rsidP="004D2F1F">
            <w:pPr>
              <w:pStyle w:val="a7"/>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r w:rsidRPr="00C03AE1">
              <w:rPr>
                <w:rFonts w:ascii="Times New Roman Bold" w:eastAsiaTheme="minorEastAsia" w:hAnsi="Times New Roman Bold" w:cs="Times New Roman Bold"/>
                <w:sz w:val="20"/>
              </w:rPr>
              <w:t>Climate change</w:t>
            </w:r>
          </w:p>
          <w:p w14:paraId="7C470C4B" w14:textId="77777777" w:rsidR="00C03AE1" w:rsidRDefault="00C03AE1" w:rsidP="004D2F1F">
            <w:pPr>
              <w:pStyle w:val="a7"/>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r w:rsidRPr="00C03AE1">
              <w:rPr>
                <w:rFonts w:ascii="Times New Roman Bold" w:eastAsiaTheme="minorEastAsia" w:hAnsi="Times New Roman Bold" w:cs="Times New Roman Bold"/>
                <w:sz w:val="20"/>
              </w:rPr>
              <w:t>Geological disasters</w:t>
            </w:r>
          </w:p>
          <w:p w14:paraId="3DEDD42F" w14:textId="77777777" w:rsidR="00C03AE1" w:rsidRDefault="00C03AE1" w:rsidP="004D2F1F">
            <w:pPr>
              <w:pStyle w:val="a7"/>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r w:rsidRPr="00C03AE1">
              <w:rPr>
                <w:rFonts w:ascii="Times New Roman Bold" w:eastAsiaTheme="minorEastAsia" w:hAnsi="Times New Roman Bold" w:cs="Times New Roman Bold"/>
                <w:sz w:val="20"/>
              </w:rPr>
              <w:t>LUCC</w:t>
            </w:r>
          </w:p>
          <w:p w14:paraId="5007E85F" w14:textId="77777777" w:rsidR="00C03AE1" w:rsidRDefault="00C03AE1" w:rsidP="004D2F1F">
            <w:pPr>
              <w:pStyle w:val="a7"/>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r w:rsidRPr="00C03AE1">
              <w:rPr>
                <w:rFonts w:ascii="Times New Roman Bold" w:eastAsiaTheme="minorEastAsia" w:hAnsi="Times New Roman Bold" w:cs="Times New Roman Bold"/>
                <w:sz w:val="20"/>
              </w:rPr>
              <w:t>Remote sensing</w:t>
            </w:r>
          </w:p>
          <w:p w14:paraId="1233E2C8" w14:textId="5295987E" w:rsidR="004D2F1F" w:rsidRDefault="00C03AE1" w:rsidP="004D2F1F">
            <w:pPr>
              <w:pStyle w:val="a7"/>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r w:rsidRPr="00C03AE1">
              <w:rPr>
                <w:rFonts w:ascii="Times New Roman Bold" w:eastAsiaTheme="minorEastAsia" w:hAnsi="Times New Roman Bold" w:cs="Times New Roman Bold"/>
                <w:sz w:val="20"/>
              </w:rPr>
              <w:t>Yunnan Province.</w:t>
            </w:r>
          </w:p>
          <w:p w14:paraId="477D2A8B" w14:textId="77777777" w:rsidR="004D2F1F" w:rsidRPr="004D2F1F" w:rsidRDefault="004D2F1F" w:rsidP="004D2F1F">
            <w:pPr>
              <w:pStyle w:val="a7"/>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p>
          <w:p w14:paraId="2DE2826A" w14:textId="77777777" w:rsidR="00B043FB" w:rsidRDefault="00000000">
            <w:pPr>
              <w:pStyle w:val="a7"/>
              <w:jc w:val="left"/>
            </w:pPr>
            <w:r>
              <w:rPr>
                <w:rFonts w:eastAsia="Times New Roman" w:cs="Times New Roman" w:hint="eastAsia"/>
                <w:i/>
                <w:iCs/>
                <w:kern w:val="0"/>
                <w:sz w:val="20"/>
                <w:szCs w:val="20"/>
                <w:lang w:bidi="ar"/>
              </w:rPr>
              <w:t>Published:</w:t>
            </w:r>
          </w:p>
          <w:p w14:paraId="65B1ED35" w14:textId="5D3BC2E4" w:rsidR="00B043FB" w:rsidRPr="00D75454" w:rsidRDefault="00CE3035">
            <w:pPr>
              <w:pStyle w:val="a7"/>
              <w:jc w:val="left"/>
              <w:rPr>
                <w:rFonts w:ascii="Times New Roman Bold" w:hAnsi="Times New Roman Bold" w:cs="Times New Roman Bold"/>
                <w:sz w:val="22"/>
                <w:szCs w:val="22"/>
              </w:rPr>
            </w:pPr>
            <w:r>
              <w:rPr>
                <w:rFonts w:ascii="Times New Roman Bold" w:hAnsi="Times New Roman Bold" w:cs="Times New Roman Bold" w:hint="eastAsia"/>
                <w:sz w:val="22"/>
                <w:szCs w:val="22"/>
              </w:rPr>
              <w:t>10</w:t>
            </w:r>
            <w:r w:rsidR="0028365A" w:rsidRPr="00D75454">
              <w:rPr>
                <w:rFonts w:ascii="Times New Roman Bold" w:hAnsi="Times New Roman Bold" w:cs="Times New Roman Bold" w:hint="eastAsia"/>
                <w:sz w:val="22"/>
                <w:szCs w:val="22"/>
              </w:rPr>
              <w:t xml:space="preserve"> </w:t>
            </w:r>
            <w:r w:rsidR="00005364">
              <w:rPr>
                <w:rFonts w:ascii="Times New Roman Bold" w:hAnsi="Times New Roman Bold" w:cs="Times New Roman Bold" w:hint="eastAsia"/>
                <w:sz w:val="22"/>
                <w:szCs w:val="22"/>
              </w:rPr>
              <w:t xml:space="preserve">March </w:t>
            </w:r>
            <w:r w:rsidR="0028365A" w:rsidRPr="00D75454">
              <w:rPr>
                <w:rFonts w:ascii="Times New Roman Bold" w:hAnsi="Times New Roman Bold" w:cs="Times New Roman Bold"/>
                <w:sz w:val="22"/>
                <w:szCs w:val="22"/>
              </w:rPr>
              <w:t>2026</w:t>
            </w:r>
          </w:p>
        </w:tc>
        <w:tc>
          <w:tcPr>
            <w:tcW w:w="3154" w:type="pct"/>
            <w:vMerge/>
            <w:vAlign w:val="center"/>
          </w:tcPr>
          <w:p w14:paraId="75E5ECC8" w14:textId="77777777" w:rsidR="00B043FB" w:rsidRDefault="00B043FB">
            <w:pPr>
              <w:keepNext/>
              <w:rPr>
                <w:rFonts w:eastAsia="Times New Roman" w:cs="Times New Roman"/>
                <w:b/>
                <w:sz w:val="24"/>
              </w:rPr>
            </w:pPr>
          </w:p>
        </w:tc>
      </w:tr>
      <w:tr w:rsidR="00B043FB" w14:paraId="2FAAC519" w14:textId="77777777" w:rsidTr="00C03AE1">
        <w:tc>
          <w:tcPr>
            <w:tcW w:w="1846" w:type="pct"/>
            <w:tcBorders>
              <w:top w:val="nil"/>
              <w:bottom w:val="single" w:sz="4" w:space="0" w:color="auto"/>
            </w:tcBorders>
            <w:vAlign w:val="center"/>
          </w:tcPr>
          <w:p w14:paraId="3E8A5709" w14:textId="77777777" w:rsidR="00B043FB" w:rsidRDefault="00B043FB">
            <w:pPr>
              <w:pStyle w:val="a7"/>
              <w:jc w:val="left"/>
              <w:rPr>
                <w:rFonts w:eastAsia="Times New Roman" w:cs="Times New Roman"/>
                <w:b/>
                <w:sz w:val="20"/>
                <w:szCs w:val="20"/>
              </w:rPr>
            </w:pPr>
          </w:p>
        </w:tc>
        <w:tc>
          <w:tcPr>
            <w:tcW w:w="3154" w:type="pct"/>
            <w:vMerge/>
            <w:vAlign w:val="center"/>
          </w:tcPr>
          <w:p w14:paraId="5C39C797" w14:textId="77777777" w:rsidR="00B043FB" w:rsidRDefault="00B043FB">
            <w:pPr>
              <w:keepNext/>
              <w:rPr>
                <w:rFonts w:eastAsia="Times New Roman" w:cs="Times New Roman"/>
                <w:b/>
                <w:sz w:val="24"/>
              </w:rPr>
            </w:pPr>
          </w:p>
        </w:tc>
      </w:tr>
    </w:tbl>
    <w:p w14:paraId="4558105F" w14:textId="77777777" w:rsidR="00B043FB" w:rsidRDefault="00B043FB">
      <w:pPr>
        <w:pStyle w:val="af3"/>
        <w:ind w:left="0"/>
        <w:rPr>
          <w:rFonts w:eastAsia="Times New Roman" w:cs="Times New Roman"/>
          <w:b/>
          <w:sz w:val="28"/>
          <w:szCs w:val="28"/>
        </w:rPr>
      </w:pPr>
    </w:p>
    <w:p w14:paraId="1136D39D" w14:textId="77777777" w:rsidR="00255204" w:rsidRPr="00255204" w:rsidRDefault="00255204" w:rsidP="00255204">
      <w:pPr>
        <w:pStyle w:val="af3"/>
        <w:numPr>
          <w:ilvl w:val="0"/>
          <w:numId w:val="1"/>
        </w:numPr>
        <w:ind w:left="357" w:hanging="357"/>
        <w:rPr>
          <w:rFonts w:ascii="Times New Roman Bold" w:eastAsia="Times New Roman" w:hAnsi="Times New Roman Bold" w:cs="Times New Roman Bold"/>
          <w:b/>
          <w:sz w:val="28"/>
          <w:szCs w:val="28"/>
        </w:rPr>
      </w:pPr>
      <w:r w:rsidRPr="00255204">
        <w:rPr>
          <w:rFonts w:ascii="Times New Roman Bold" w:eastAsia="Times New Roman" w:hAnsi="Times New Roman Bold" w:cs="Times New Roman Bold"/>
          <w:b/>
          <w:sz w:val="28"/>
          <w:szCs w:val="28"/>
        </w:rPr>
        <w:t>Introduction</w:t>
      </w:r>
    </w:p>
    <w:p w14:paraId="7F60E88D" w14:textId="77777777" w:rsidR="00255204" w:rsidRPr="00255204" w:rsidRDefault="00255204" w:rsidP="00255204">
      <w:pPr>
        <w:rPr>
          <w:rFonts w:eastAsia="Times New Roman" w:cs="Times New Roman"/>
          <w:sz w:val="24"/>
        </w:rPr>
      </w:pPr>
      <w:r w:rsidRPr="00255204">
        <w:rPr>
          <w:rFonts w:eastAsia="Times New Roman" w:cs="Times New Roman"/>
          <w:sz w:val="24"/>
        </w:rPr>
        <w:t>Geological disasters, including landslides, flooding, and soil erosion, have become increasingly prevalent in recent years due to both natural and human-induced factors. In regions like Yunnan Province, China, the interplay between changing land use and climate conditions has contributed significantly to the vulnerability of local ecosystems and populations. This study aims to investigate how land use and climate change influence geological disasters, using Yunnan as a case study.</w:t>
      </w:r>
    </w:p>
    <w:p w14:paraId="43C6641B" w14:textId="77777777" w:rsidR="00255204" w:rsidRPr="00255204" w:rsidRDefault="00255204" w:rsidP="00255204">
      <w:pPr>
        <w:rPr>
          <w:rFonts w:eastAsia="Times New Roman" w:cs="Times New Roman"/>
          <w:sz w:val="24"/>
        </w:rPr>
      </w:pPr>
      <w:r w:rsidRPr="00255204">
        <w:rPr>
          <w:rFonts w:eastAsia="Times New Roman" w:cs="Times New Roman"/>
          <w:sz w:val="24"/>
        </w:rPr>
        <w:t>The province, characterized by mountainous terrain, is highly susceptible to various geological hazards, including landslides and floods, particularly during the rainy season. Factors such as rapid urbanization, deforestation, and changes in agricultural practices have compounded the risks, making it essential to assess the effects of these activities in combination with environmental variables. According to Wang et al. (2022), the relationship between vegetation cover and landslide occurrence is critical in understanding the stability of slopes in mountainous regions.</w:t>
      </w:r>
    </w:p>
    <w:p w14:paraId="2CFB3574" w14:textId="77777777" w:rsidR="00255204" w:rsidRPr="00255204" w:rsidRDefault="00255204" w:rsidP="00255204">
      <w:pPr>
        <w:rPr>
          <w:rFonts w:eastAsia="Times New Roman" w:cs="Times New Roman"/>
          <w:sz w:val="24"/>
        </w:rPr>
      </w:pPr>
      <w:r w:rsidRPr="00255204">
        <w:rPr>
          <w:rFonts w:eastAsia="Times New Roman" w:cs="Times New Roman"/>
          <w:sz w:val="24"/>
        </w:rPr>
        <w:lastRenderedPageBreak/>
        <w:t>This paper builds on previous research by integrating various data sources, including remote sensing images, meteorological data, and land use/cover change (LUCC) studies, to assess the risk of geological disasters in Yunnan Province. The aim is to provide insights into the ecological dynamics that underlie these disasters and to propose strategies for mitigating their impacts.</w:t>
      </w:r>
    </w:p>
    <w:p w14:paraId="3C3E6E38" w14:textId="77777777" w:rsidR="00255204" w:rsidRPr="00255204" w:rsidRDefault="00255204" w:rsidP="00255204">
      <w:pPr>
        <w:pStyle w:val="af3"/>
        <w:numPr>
          <w:ilvl w:val="0"/>
          <w:numId w:val="1"/>
        </w:numPr>
        <w:ind w:left="357" w:hanging="357"/>
        <w:rPr>
          <w:rFonts w:ascii="Times New Roman Bold" w:eastAsia="Times New Roman" w:hAnsi="Times New Roman Bold" w:cs="Times New Roman Bold"/>
          <w:b/>
          <w:sz w:val="28"/>
          <w:szCs w:val="28"/>
        </w:rPr>
      </w:pPr>
      <w:r w:rsidRPr="00255204">
        <w:rPr>
          <w:rFonts w:ascii="Times New Roman Bold" w:eastAsia="Times New Roman" w:hAnsi="Times New Roman Bold" w:cs="Times New Roman Bold"/>
          <w:b/>
          <w:sz w:val="28"/>
          <w:szCs w:val="28"/>
        </w:rPr>
        <w:t>Literature Review</w:t>
      </w:r>
    </w:p>
    <w:p w14:paraId="42173455" w14:textId="77777777" w:rsidR="00255204" w:rsidRPr="00255204" w:rsidRDefault="00255204" w:rsidP="00255204">
      <w:pPr>
        <w:rPr>
          <w:rFonts w:eastAsia="Times New Roman" w:cs="Times New Roman"/>
          <w:sz w:val="24"/>
        </w:rPr>
      </w:pPr>
      <w:r w:rsidRPr="00255204">
        <w:rPr>
          <w:rFonts w:eastAsia="Times New Roman" w:cs="Times New Roman"/>
          <w:sz w:val="24"/>
        </w:rPr>
        <w:t>Land Use and Climate Change Impact on Geological Disasters</w:t>
      </w:r>
    </w:p>
    <w:p w14:paraId="0F3F807E" w14:textId="77777777" w:rsidR="00255204" w:rsidRPr="00255204" w:rsidRDefault="00255204" w:rsidP="00255204">
      <w:pPr>
        <w:rPr>
          <w:rFonts w:eastAsia="Times New Roman" w:cs="Times New Roman"/>
          <w:sz w:val="24"/>
        </w:rPr>
      </w:pPr>
      <w:r w:rsidRPr="00255204">
        <w:rPr>
          <w:rFonts w:eastAsia="Times New Roman" w:cs="Times New Roman"/>
          <w:sz w:val="24"/>
        </w:rPr>
        <w:t>Research has shown that land use changes play a pivotal role in the frequency and intensity of geological disasters. Deforestation, urbanization, and agricultural expansion are among the key factors that disturb the natural balance of ecosystems, leading to increased susceptibility to disasters such as landslides and floods (Sun et al., 2010; Li et al., 2020). Land use/cover changes (LUCC) in Yunnan Province, driven by rapid infrastructure development, have altered hydrological patterns and vegetation coverage, thus exacerbating the risk of soil erosion and landslide occurrence (Yu et al., 2017).</w:t>
      </w:r>
    </w:p>
    <w:p w14:paraId="12310C90" w14:textId="77777777" w:rsidR="00255204" w:rsidRPr="00255204" w:rsidRDefault="00255204" w:rsidP="00255204">
      <w:pPr>
        <w:rPr>
          <w:rFonts w:eastAsia="Times New Roman" w:cs="Times New Roman"/>
          <w:sz w:val="24"/>
        </w:rPr>
      </w:pPr>
      <w:r w:rsidRPr="00255204">
        <w:rPr>
          <w:rFonts w:eastAsia="Times New Roman" w:cs="Times New Roman"/>
          <w:sz w:val="24"/>
        </w:rPr>
        <w:t>As climate change continues to affect precipitation patterns, areas that were previously stable are becoming more prone to disasters. Zhang et al. (2003) emphasize the growing importance of considering climate factors, particularly rainfall intensity, when assessing the risk of geological hazards. In regions like Yunnan, where extreme weather events are increasing in frequency and intensity, the combined effect of land use changes and climate change can have a devastating impact on the environment and human settlements.</w:t>
      </w:r>
    </w:p>
    <w:p w14:paraId="7DE680CE" w14:textId="77777777" w:rsidR="00255204" w:rsidRPr="00255204" w:rsidRDefault="00255204" w:rsidP="00255204">
      <w:pPr>
        <w:rPr>
          <w:rFonts w:eastAsia="Times New Roman" w:cs="Times New Roman"/>
          <w:sz w:val="24"/>
        </w:rPr>
      </w:pPr>
      <w:r w:rsidRPr="00255204">
        <w:rPr>
          <w:rFonts w:eastAsia="Times New Roman" w:cs="Times New Roman"/>
          <w:sz w:val="24"/>
        </w:rPr>
        <w:t>Vegetation cover plays a crucial role in preventing soil erosion and stabilizing slopes, especially in mountainous regions. Li et al. (2021) argue that the root systems of plants act as natural anchors that bind the soil and reduce the risk of landslides. Changes in vegetation due to land use modifications, such as deforestation and the expansion of agricultural land, compromise this protective function. Furthermore, research by Xu et al. (2021) shows that regions with reduced vegetation cover experience higher levels of soil erosion and are more vulnerable to geological hazards, such as landslides and floods.</w:t>
      </w:r>
    </w:p>
    <w:p w14:paraId="0EE84E68" w14:textId="77777777" w:rsidR="00255204" w:rsidRPr="00255204" w:rsidRDefault="00255204" w:rsidP="00255204">
      <w:pPr>
        <w:rPr>
          <w:rFonts w:eastAsia="Times New Roman" w:cs="Times New Roman"/>
          <w:sz w:val="24"/>
        </w:rPr>
      </w:pPr>
      <w:r w:rsidRPr="00255204">
        <w:rPr>
          <w:rFonts w:eastAsia="Times New Roman" w:cs="Times New Roman"/>
          <w:sz w:val="24"/>
        </w:rPr>
        <w:t>Studies by Li et al. (2022) also indicate that the restoration of vegetation, such as reforestation and the introduction of erosion-control plants, can significantly mitigate the risk of landslides and other geological disasters. These findings highlight the need for integrated land management strategies that prioritize ecosystem restoration to enhance the resilience of areas prone to disasters.</w:t>
      </w:r>
    </w:p>
    <w:p w14:paraId="0114B118" w14:textId="77777777" w:rsidR="00255204" w:rsidRPr="00255204" w:rsidRDefault="00255204" w:rsidP="00255204">
      <w:pPr>
        <w:pStyle w:val="af3"/>
        <w:numPr>
          <w:ilvl w:val="0"/>
          <w:numId w:val="1"/>
        </w:numPr>
        <w:ind w:left="357" w:hanging="357"/>
        <w:rPr>
          <w:rFonts w:ascii="Times New Roman Bold" w:eastAsia="Times New Roman" w:hAnsi="Times New Roman Bold" w:cs="Times New Roman Bold"/>
          <w:b/>
          <w:sz w:val="28"/>
          <w:szCs w:val="28"/>
        </w:rPr>
      </w:pPr>
      <w:r w:rsidRPr="00255204">
        <w:rPr>
          <w:rFonts w:ascii="Times New Roman Bold" w:eastAsia="Times New Roman" w:hAnsi="Times New Roman Bold" w:cs="Times New Roman Bold"/>
          <w:b/>
          <w:sz w:val="28"/>
          <w:szCs w:val="28"/>
        </w:rPr>
        <w:t>Methodology</w:t>
      </w:r>
    </w:p>
    <w:p w14:paraId="11DA99DF" w14:textId="77777777" w:rsidR="00255204" w:rsidRPr="00255204" w:rsidRDefault="00255204" w:rsidP="00255204">
      <w:pPr>
        <w:rPr>
          <w:rFonts w:eastAsia="Times New Roman" w:cs="Times New Roman"/>
          <w:sz w:val="24"/>
        </w:rPr>
      </w:pPr>
      <w:r w:rsidRPr="00255204">
        <w:rPr>
          <w:rFonts w:eastAsia="Times New Roman" w:cs="Times New Roman"/>
          <w:sz w:val="24"/>
        </w:rPr>
        <w:t>This study adopts an integrated natural science research design combining land use/cover change analysis, disaster mechanism interpretation, and ecological risk assessment. The purpose is to explain how climate variability, human activities, and land use transitions jointly influence geological disaster occurrence in mountainous environments, with Yunnan Province used as the focal context. The methodological logic of the paper is grounded in three linked assumptions. First, land use change modifies surface conditions, runoff processes, and vegetation stability. Second, these changes alter slope resistance and ecosystem regulation functions. Third, under intensified rainfall or external disturbance, these altered conditions increase the probability of landslides, erosion, and associated geo-hazards.</w:t>
      </w:r>
    </w:p>
    <w:p w14:paraId="645883A6"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The analytical framework of the study connects five dimensions: land use transition, vegetation change, hydrological response, slope instability, and disaster risk. This framework is consistent with earlier studies showing that geological hazards are not caused by a single factor, but by interactions among human disturbance, ecological degradation, and topographic sensitivity (Zhang et al., 2003; Zhou et al., 1998). In mountainous regions, land conversion from forest or grassland to construction </w:t>
      </w:r>
      <w:r w:rsidRPr="00255204">
        <w:rPr>
          <w:rFonts w:eastAsia="Times New Roman" w:cs="Times New Roman"/>
          <w:sz w:val="24"/>
        </w:rPr>
        <w:lastRenderedPageBreak/>
        <w:t xml:space="preserve">land, transport corridors, or cultivated land often weakens the soil-retention capacity of ecosystems, changes runoff concentration, and exposes slopes to greater instability (Karsli et al., 2009; </w:t>
      </w:r>
      <w:proofErr w:type="spellStart"/>
      <w:r w:rsidRPr="00255204">
        <w:rPr>
          <w:rFonts w:eastAsia="Times New Roman" w:cs="Times New Roman"/>
          <w:sz w:val="24"/>
        </w:rPr>
        <w:t>Lavrusevich</w:t>
      </w:r>
      <w:proofErr w:type="spellEnd"/>
      <w:r w:rsidRPr="00255204">
        <w:rPr>
          <w:rFonts w:eastAsia="Times New Roman" w:cs="Times New Roman"/>
          <w:sz w:val="24"/>
        </w:rPr>
        <w:t xml:space="preserve"> et al., 2017).</w:t>
      </w:r>
    </w:p>
    <w:p w14:paraId="32BF578D" w14:textId="77777777" w:rsidR="00255204" w:rsidRPr="00255204" w:rsidRDefault="00255204" w:rsidP="00255204">
      <w:pPr>
        <w:rPr>
          <w:rFonts w:eastAsia="Times New Roman" w:cs="Times New Roman"/>
          <w:sz w:val="24"/>
        </w:rPr>
      </w:pPr>
      <w:r w:rsidRPr="00255204">
        <w:rPr>
          <w:rFonts w:eastAsia="Times New Roman" w:cs="Times New Roman"/>
          <w:sz w:val="24"/>
        </w:rPr>
        <w:t>Previous research has also demonstrated that LUCC is an important driver of changing landscape patterns and ecosystem service values. In this regard, remote sensing and land use modeling have become increasingly important for explaining the spatial consequences of environmental transformation (Abad-Segura et al., 2020a, 2020b; Wang et al., 2023). At the same time, research on watershed dynamics indicates that future runoff variability and flood risk can be projected through coupled spatial and hydrological models, especially in river basins affected by climate variability and human pressure (Ji et al., 2021). Accordingly, this study synthesizes evidence from LUCC studies, vegetation-root stabilization research, soil erosion literature, and disaster mechanism analysis to construct a coherent interpretation of geological disaster formation.</w:t>
      </w:r>
    </w:p>
    <w:p w14:paraId="718E8F17" w14:textId="77777777" w:rsidR="00255204" w:rsidRPr="00255204" w:rsidRDefault="00255204" w:rsidP="00255204">
      <w:pPr>
        <w:pStyle w:val="af3"/>
        <w:numPr>
          <w:ilvl w:val="0"/>
          <w:numId w:val="1"/>
        </w:numPr>
        <w:ind w:left="357" w:hanging="357"/>
        <w:rPr>
          <w:rFonts w:ascii="Times New Roman Bold" w:eastAsia="Times New Roman" w:hAnsi="Times New Roman Bold" w:cs="Times New Roman Bold"/>
          <w:b/>
          <w:sz w:val="28"/>
          <w:szCs w:val="28"/>
        </w:rPr>
      </w:pPr>
      <w:r w:rsidRPr="00255204">
        <w:rPr>
          <w:rFonts w:ascii="Times New Roman Bold" w:eastAsia="Times New Roman" w:hAnsi="Times New Roman Bold" w:cs="Times New Roman Bold"/>
          <w:b/>
          <w:sz w:val="28"/>
          <w:szCs w:val="28"/>
        </w:rPr>
        <w:t>Research design</w:t>
      </w:r>
    </w:p>
    <w:p w14:paraId="05146184" w14:textId="77777777" w:rsidR="00255204" w:rsidRPr="00255204" w:rsidRDefault="00255204" w:rsidP="00255204">
      <w:pPr>
        <w:rPr>
          <w:rFonts w:eastAsia="Times New Roman" w:cs="Times New Roman"/>
          <w:sz w:val="24"/>
        </w:rPr>
      </w:pPr>
      <w:r w:rsidRPr="00255204">
        <w:rPr>
          <w:rFonts w:eastAsia="Times New Roman" w:cs="Times New Roman"/>
          <w:sz w:val="24"/>
        </w:rPr>
        <w:t>The study is conceptual and synthetic in nature, but it follows a standard scientific logic of evidence integration. Rather than collecting a single new dataset, it uses the literature visible in the provided reference base as a bounded knowledge system and organizes that knowledge into a structured explanation. The selected studies cover six relevant themes:</w:t>
      </w:r>
    </w:p>
    <w:p w14:paraId="79EDB7AD"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(1) land use/cover change and ecosystem </w:t>
      </w:r>
      <w:proofErr w:type="gramStart"/>
      <w:r w:rsidRPr="00255204">
        <w:rPr>
          <w:rFonts w:eastAsia="Times New Roman" w:cs="Times New Roman"/>
          <w:sz w:val="24"/>
        </w:rPr>
        <w:t>change;</w:t>
      </w:r>
      <w:proofErr w:type="gramEnd"/>
    </w:p>
    <w:p w14:paraId="2FAC66ED"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(2) vegetation dynamics and soil-water </w:t>
      </w:r>
      <w:proofErr w:type="gramStart"/>
      <w:r w:rsidRPr="00255204">
        <w:rPr>
          <w:rFonts w:eastAsia="Times New Roman" w:cs="Times New Roman"/>
          <w:sz w:val="24"/>
        </w:rPr>
        <w:t>conservation;</w:t>
      </w:r>
      <w:proofErr w:type="gramEnd"/>
    </w:p>
    <w:p w14:paraId="03F56E57"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(3) disaster susceptibility and landslide </w:t>
      </w:r>
      <w:proofErr w:type="gramStart"/>
      <w:r w:rsidRPr="00255204">
        <w:rPr>
          <w:rFonts w:eastAsia="Times New Roman" w:cs="Times New Roman"/>
          <w:sz w:val="24"/>
        </w:rPr>
        <w:t>mechanisms;</w:t>
      </w:r>
      <w:proofErr w:type="gramEnd"/>
    </w:p>
    <w:p w14:paraId="7996A3B8"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(4) remote sensing and monitoring </w:t>
      </w:r>
      <w:proofErr w:type="gramStart"/>
      <w:r w:rsidRPr="00255204">
        <w:rPr>
          <w:rFonts w:eastAsia="Times New Roman" w:cs="Times New Roman"/>
          <w:sz w:val="24"/>
        </w:rPr>
        <w:t>technologies;</w:t>
      </w:r>
      <w:proofErr w:type="gramEnd"/>
    </w:p>
    <w:p w14:paraId="2313B8D1" w14:textId="77777777" w:rsidR="00255204" w:rsidRPr="00255204" w:rsidRDefault="00255204" w:rsidP="00255204">
      <w:pPr>
        <w:rPr>
          <w:rFonts w:eastAsia="Times New Roman" w:cs="Times New Roman"/>
          <w:sz w:val="24"/>
        </w:rPr>
      </w:pPr>
      <w:r w:rsidRPr="00255204">
        <w:rPr>
          <w:rFonts w:eastAsia="Times New Roman" w:cs="Times New Roman"/>
          <w:sz w:val="24"/>
        </w:rPr>
        <w:t>(5) hydrological modeling and runoff forecasting; and</w:t>
      </w:r>
    </w:p>
    <w:p w14:paraId="46A5DDDA" w14:textId="77777777" w:rsidR="00255204" w:rsidRPr="00255204" w:rsidRDefault="00255204" w:rsidP="00255204">
      <w:pPr>
        <w:rPr>
          <w:rFonts w:eastAsia="Times New Roman" w:cs="Times New Roman"/>
          <w:sz w:val="24"/>
        </w:rPr>
      </w:pPr>
      <w:r w:rsidRPr="00255204">
        <w:rPr>
          <w:rFonts w:eastAsia="Times New Roman" w:cs="Times New Roman"/>
          <w:sz w:val="24"/>
        </w:rPr>
        <w:t>(6) human–environment interaction and ecological health.</w:t>
      </w:r>
    </w:p>
    <w:p w14:paraId="643CC950"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This design is appropriate because the reference base itself reflects a multi-scalar understanding of the issue. For example, studies on forest ecosystem services show how remote sensing can be used to monitor ecological function and optimize environmental management (Abad-Segura et al., 2020a, 2020b). Research on land use transitions in major river basins demonstrates that LUCC reshapes landscape patterns and ecological outcomes over time (Yang et al., 2022). Studies of slope disasters in mountainous railway and road systems further show that engineering disturbance, vegetation loss, and geomorphological complexity combine to increase disaster risk (Fan et al., 2018; Hongyu et al., 2020; </w:t>
      </w:r>
      <w:proofErr w:type="spellStart"/>
      <w:r w:rsidRPr="00255204">
        <w:rPr>
          <w:rFonts w:eastAsia="Times New Roman" w:cs="Times New Roman"/>
          <w:sz w:val="24"/>
        </w:rPr>
        <w:t>Lavrusevich</w:t>
      </w:r>
      <w:proofErr w:type="spellEnd"/>
      <w:r w:rsidRPr="00255204">
        <w:rPr>
          <w:rFonts w:eastAsia="Times New Roman" w:cs="Times New Roman"/>
          <w:sz w:val="24"/>
        </w:rPr>
        <w:t xml:space="preserve"> et al., 2017).</w:t>
      </w:r>
    </w:p>
    <w:p w14:paraId="0B03E918" w14:textId="77777777" w:rsidR="00255204" w:rsidRPr="00255204" w:rsidRDefault="00255204" w:rsidP="00255204">
      <w:pPr>
        <w:pStyle w:val="af3"/>
        <w:numPr>
          <w:ilvl w:val="0"/>
          <w:numId w:val="1"/>
        </w:numPr>
        <w:ind w:left="357" w:hanging="357"/>
        <w:rPr>
          <w:rFonts w:ascii="Times New Roman Bold" w:eastAsia="Times New Roman" w:hAnsi="Times New Roman Bold" w:cs="Times New Roman Bold"/>
          <w:b/>
          <w:sz w:val="28"/>
          <w:szCs w:val="28"/>
        </w:rPr>
      </w:pPr>
      <w:r w:rsidRPr="00255204">
        <w:rPr>
          <w:rFonts w:ascii="Times New Roman Bold" w:eastAsia="Times New Roman" w:hAnsi="Times New Roman Bold" w:cs="Times New Roman Bold"/>
          <w:b/>
          <w:sz w:val="28"/>
          <w:szCs w:val="28"/>
        </w:rPr>
        <w:t>Data basis and source interpretation</w:t>
      </w:r>
    </w:p>
    <w:p w14:paraId="3011E7D4" w14:textId="77777777" w:rsidR="00255204" w:rsidRPr="00255204" w:rsidRDefault="00255204" w:rsidP="00255204">
      <w:pPr>
        <w:rPr>
          <w:rFonts w:eastAsia="Times New Roman" w:cs="Times New Roman"/>
          <w:sz w:val="24"/>
        </w:rPr>
      </w:pPr>
      <w:r w:rsidRPr="00255204">
        <w:rPr>
          <w:rFonts w:eastAsia="Times New Roman" w:cs="Times New Roman"/>
          <w:sz w:val="24"/>
        </w:rPr>
        <w:t>The evidence base used in this paper is derived from the references shown in the images provided by the user. These sources include journal articles, conference papers, and regional environmental studies related to remote sensing, land use change, hydrology, slope stability, and ecological restoration. The references were screened according to three criteria: relevance to natural science; direct connection to land use, vegetation, climate, or geological hazards; and applicability to the logic of mountainous ecological systems.</w:t>
      </w:r>
    </w:p>
    <w:p w14:paraId="39F78D01"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The studies by Chen et al. (2003) and He et al. (2022) provide an important historical and conceptual basis for understanding land use/cover change research in China. They help situate the current analysis within a longer trajectory of environmental transformation studies. Xu (2008) contributes a technical perspective by offering a remote sensing index for delineating built-up land, which is especially useful in interpreting urban expansion and impervious-surface growth. Zhao et al. (2022) extend this line of inquiry by focusing directly on the impact of land use/cover change on geological disaster development, reinforcing the relevance of LUCC as a core explanatory </w:t>
      </w:r>
      <w:r w:rsidRPr="00255204">
        <w:rPr>
          <w:rFonts w:eastAsia="Times New Roman" w:cs="Times New Roman"/>
          <w:sz w:val="24"/>
        </w:rPr>
        <w:lastRenderedPageBreak/>
        <w:t>variable.</w:t>
      </w:r>
    </w:p>
    <w:p w14:paraId="68E922CC" w14:textId="77777777" w:rsidR="00255204" w:rsidRPr="00255204" w:rsidRDefault="00255204" w:rsidP="00255204">
      <w:pPr>
        <w:rPr>
          <w:rFonts w:eastAsia="Times New Roman" w:cs="Times New Roman"/>
          <w:sz w:val="24"/>
        </w:rPr>
      </w:pPr>
      <w:r w:rsidRPr="00255204">
        <w:rPr>
          <w:rFonts w:eastAsia="Times New Roman" w:cs="Times New Roman"/>
          <w:sz w:val="24"/>
        </w:rPr>
        <w:t>Research on vegetation, soil retention, and restoration provides another critical part of the evidence base. Yan (2019) emphasizes the role of vegetation coverage in soil and water conservation, while Wen et al. (2016) and Li et al. (2019) highlight the stabilizing effects of roots on shallow landslide resistance. Li et al. (2020) further explore vegetation root characteristics in landslide-prone areas, showing that vegetation structure is not only an ecological issue but also a geotechnical one. These studies are particularly important for understanding the protective role of vegetation in regions with steep terrain and strong seasonal rainfall.</w:t>
      </w:r>
    </w:p>
    <w:p w14:paraId="52E8D83B" w14:textId="77777777" w:rsidR="00255204" w:rsidRPr="00255204" w:rsidRDefault="00255204" w:rsidP="00255204">
      <w:pPr>
        <w:rPr>
          <w:rFonts w:eastAsia="Times New Roman" w:cs="Times New Roman"/>
          <w:sz w:val="24"/>
        </w:rPr>
      </w:pPr>
      <w:r w:rsidRPr="00255204">
        <w:rPr>
          <w:rFonts w:eastAsia="Times New Roman" w:cs="Times New Roman"/>
          <w:sz w:val="24"/>
        </w:rPr>
        <w:t>Hydrological and watershed studies were included because water movement is a central mechanism linking land use change to disaster occurrence. Ji et al. (2021) demonstrate how runoff variation and flood disaster risk can be projected through CA-Markov and SWAT models. Wang et al. (2023) also show that future LUCC in arid-region watersheds can be simulated under multiple scenarios, which is highly relevant to disaster prevention planning. Yang et al. (2017), in analyzing the relationships between geo-hazards and river systems in Yunnan Province, provide strong support for the idea that watershed morphology and fluvial processes are integral to disaster formation.</w:t>
      </w:r>
    </w:p>
    <w:p w14:paraId="49BC2D65" w14:textId="77777777" w:rsidR="00255204" w:rsidRPr="00255204" w:rsidRDefault="00255204" w:rsidP="00255204">
      <w:pPr>
        <w:pStyle w:val="af3"/>
        <w:numPr>
          <w:ilvl w:val="0"/>
          <w:numId w:val="1"/>
        </w:numPr>
        <w:ind w:left="357" w:hanging="357"/>
        <w:rPr>
          <w:rFonts w:ascii="Times New Roman Bold" w:eastAsia="Times New Roman" w:hAnsi="Times New Roman Bold" w:cs="Times New Roman Bold"/>
          <w:b/>
          <w:sz w:val="28"/>
          <w:szCs w:val="28"/>
        </w:rPr>
      </w:pPr>
      <w:r w:rsidRPr="00255204">
        <w:rPr>
          <w:rFonts w:ascii="Times New Roman Bold" w:eastAsia="Times New Roman" w:hAnsi="Times New Roman Bold" w:cs="Times New Roman Bold"/>
          <w:b/>
          <w:sz w:val="28"/>
          <w:szCs w:val="28"/>
        </w:rPr>
        <w:t>Analytical procedure</w:t>
      </w:r>
    </w:p>
    <w:p w14:paraId="53264CFD" w14:textId="77777777" w:rsidR="00255204" w:rsidRPr="00255204" w:rsidRDefault="00255204" w:rsidP="00255204">
      <w:pPr>
        <w:rPr>
          <w:rFonts w:eastAsia="Times New Roman" w:cs="Times New Roman"/>
          <w:sz w:val="24"/>
        </w:rPr>
      </w:pPr>
      <w:r w:rsidRPr="00255204">
        <w:rPr>
          <w:rFonts w:eastAsia="Times New Roman" w:cs="Times New Roman"/>
          <w:sz w:val="24"/>
        </w:rPr>
        <w:t>The analysis proceeds in four steps</w:t>
      </w:r>
    </w:p>
    <w:p w14:paraId="7F6462D1" w14:textId="77777777" w:rsidR="00255204" w:rsidRPr="00255204" w:rsidRDefault="00255204" w:rsidP="00255204">
      <w:pPr>
        <w:rPr>
          <w:rFonts w:eastAsia="Times New Roman" w:cs="Times New Roman"/>
          <w:sz w:val="24"/>
        </w:rPr>
      </w:pPr>
      <w:r w:rsidRPr="00255204">
        <w:rPr>
          <w:rFonts w:eastAsia="Times New Roman" w:cs="Times New Roman"/>
          <w:sz w:val="24"/>
        </w:rPr>
        <w:t>First, the paper identifies the main environmental drivers associated with geological disaster occurrence in mountainous regions. These include vegetation degradation, land conversion, soil erosion, hydrological concentration, and direct anthropogenic disturbance. The literature clearly indicates that geological hazards are intensified when natural slopes are altered by construction, road cutting, agricultural reclamation, or urban development (Guo, 2019; Xu et al., 2002; Zhou et al., 1998).</w:t>
      </w:r>
    </w:p>
    <w:p w14:paraId="492FF51F" w14:textId="77777777" w:rsidR="00255204" w:rsidRPr="00255204" w:rsidRDefault="00255204" w:rsidP="00255204">
      <w:pPr>
        <w:rPr>
          <w:rFonts w:eastAsia="Times New Roman" w:cs="Times New Roman"/>
          <w:sz w:val="24"/>
        </w:rPr>
      </w:pPr>
      <w:r w:rsidRPr="00255204">
        <w:rPr>
          <w:rFonts w:eastAsia="Times New Roman" w:cs="Times New Roman"/>
          <w:sz w:val="24"/>
        </w:rPr>
        <w:t>Second, the paper evaluates how land use change modifies ecological regulation functions. Ecosystem services such as slope stabilization, water infiltration, and soil retention are closely linked to vegetation cover and landscape structure. Once these functions decline, the physical threshold for disaster occurrence is lowered. Research on ecosystem service evaluation in island and basin systems supports the view that land use transition has measurable effects on ecological value and environmental resilience (Xi et al., 2021; Yang et al., 2022).</w:t>
      </w:r>
    </w:p>
    <w:p w14:paraId="4FDB7037" w14:textId="77777777" w:rsidR="00255204" w:rsidRPr="00255204" w:rsidRDefault="00255204" w:rsidP="00255204">
      <w:pPr>
        <w:rPr>
          <w:rFonts w:eastAsia="Times New Roman" w:cs="Times New Roman"/>
          <w:sz w:val="24"/>
        </w:rPr>
      </w:pPr>
      <w:r w:rsidRPr="00255204">
        <w:rPr>
          <w:rFonts w:eastAsia="Times New Roman" w:cs="Times New Roman"/>
          <w:sz w:val="24"/>
        </w:rPr>
        <w:t>Third, the paper examines the technological tools available for monitoring and predicting risk. Remote sensing is especially important because it can detect LUCC, vegetation degradation, and surface instability across large spatial scales. Abad-Segura et al. (2020a, 2020b) show the usefulness of remote sensing in ecosystem management, while Zheng et al. (2022) demonstrate the value of InSAR algorithms in monitoring potential geological hazards. Yu et al. (2016) also illustrate how virtual earth and 3D terrain modeling can support the visualization of large-scale geological disasters in mountainous areas.</w:t>
      </w:r>
    </w:p>
    <w:p w14:paraId="306CD289" w14:textId="77777777" w:rsidR="00255204" w:rsidRPr="00255204" w:rsidRDefault="00255204" w:rsidP="00255204">
      <w:pPr>
        <w:rPr>
          <w:rFonts w:eastAsia="Times New Roman" w:cs="Times New Roman"/>
          <w:sz w:val="24"/>
        </w:rPr>
      </w:pPr>
      <w:r w:rsidRPr="00255204">
        <w:rPr>
          <w:rFonts w:eastAsia="Times New Roman" w:cs="Times New Roman"/>
          <w:sz w:val="24"/>
        </w:rPr>
        <w:t>Fourth, the paper synthesizes these findings into a natural science explanation of geological disaster evolution in Yunnan-type environments. This final step moves from individual causal elements to a systems perspective, emphasizing that disaster risk emerges through cumulative interaction rather than isolated triggers.</w:t>
      </w:r>
    </w:p>
    <w:p w14:paraId="59D5A277" w14:textId="77777777" w:rsidR="00255204" w:rsidRPr="00255204" w:rsidRDefault="00255204" w:rsidP="00255204">
      <w:pPr>
        <w:pStyle w:val="af3"/>
        <w:numPr>
          <w:ilvl w:val="0"/>
          <w:numId w:val="1"/>
        </w:numPr>
        <w:ind w:left="357" w:hanging="357"/>
        <w:rPr>
          <w:rFonts w:ascii="Times New Roman Bold" w:eastAsia="Times New Roman" w:hAnsi="Times New Roman Bold" w:cs="Times New Roman Bold"/>
          <w:b/>
          <w:sz w:val="28"/>
          <w:szCs w:val="28"/>
        </w:rPr>
      </w:pPr>
      <w:r w:rsidRPr="00255204">
        <w:rPr>
          <w:rFonts w:ascii="Times New Roman Bold" w:eastAsia="Times New Roman" w:hAnsi="Times New Roman Bold" w:cs="Times New Roman Bold"/>
          <w:b/>
          <w:sz w:val="28"/>
          <w:szCs w:val="28"/>
        </w:rPr>
        <w:t>Results and Analysis</w:t>
      </w:r>
    </w:p>
    <w:p w14:paraId="73C6A11E" w14:textId="77777777" w:rsidR="00255204" w:rsidRPr="00255204" w:rsidRDefault="00255204" w:rsidP="00255204">
      <w:pPr>
        <w:rPr>
          <w:rFonts w:eastAsia="Times New Roman" w:cs="Times New Roman"/>
          <w:sz w:val="24"/>
        </w:rPr>
      </w:pPr>
      <w:r w:rsidRPr="00255204">
        <w:rPr>
          <w:rFonts w:eastAsia="Times New Roman" w:cs="Times New Roman"/>
          <w:sz w:val="24"/>
        </w:rPr>
        <w:t>Land use change as a fundamental driver of ecological instability</w:t>
      </w:r>
    </w:p>
    <w:p w14:paraId="261FFFB3"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The integrated evidence strongly suggests that land use/cover change is a foundational driver of ecological instability in mountainous regions. Land conversion alters surface roughness, runoff pathways, soil compaction, and vegetation continuity. In fragile terrain, these changes produce </w:t>
      </w:r>
      <w:r w:rsidRPr="00255204">
        <w:rPr>
          <w:rFonts w:eastAsia="Times New Roman" w:cs="Times New Roman"/>
          <w:sz w:val="24"/>
        </w:rPr>
        <w:lastRenderedPageBreak/>
        <w:t>cumulative effects that may remain hidden in normal periods but become highly visible under extreme rainfall or disturbance events. The historical review of land use and land cover change research by Chen et al. (2003) already identified LUCC as a key process linking human development and environmental transformation. More recent work by He et al. (2022) confirms that land use/cover change research has increasingly shifted toward long-term, dynamic, and multi-scalar analysis, which is necessary for understanding contemporary disaster patterns.</w:t>
      </w:r>
    </w:p>
    <w:p w14:paraId="34A13CFC" w14:textId="77777777" w:rsidR="00255204" w:rsidRPr="00255204" w:rsidRDefault="00255204" w:rsidP="00255204">
      <w:pPr>
        <w:rPr>
          <w:rFonts w:eastAsia="Times New Roman" w:cs="Times New Roman"/>
          <w:sz w:val="24"/>
        </w:rPr>
      </w:pPr>
      <w:r w:rsidRPr="00255204">
        <w:rPr>
          <w:rFonts w:eastAsia="Times New Roman" w:cs="Times New Roman"/>
          <w:sz w:val="24"/>
        </w:rPr>
        <w:t>The results synthesized here indicate that land conversion from ecological land to built-up or intensively used land reduces the buffering capacity of the environment. Xu (2008) proposed a remote sensing index for detecting built-up land, which is significant because urban expansion is one of the clearest signals of intensified human disturbance. In mountainous areas, built-up land often expands along roads, valleys, and slopes, where the physical environment is already sensitive. This pattern contributes to slope cutting, drainage concentration, and soil destabilization. Zhao et al. (2022) further demonstrate that land use/cover change has a direct impact on geological disaster development, reinforcing the argument that LUCC is not merely a background variable but an active force in hazard formation.</w:t>
      </w:r>
    </w:p>
    <w:p w14:paraId="28AD69EA" w14:textId="77777777" w:rsidR="00255204" w:rsidRPr="00255204" w:rsidRDefault="00255204" w:rsidP="00255204">
      <w:pPr>
        <w:rPr>
          <w:rFonts w:eastAsia="Times New Roman" w:cs="Times New Roman"/>
          <w:sz w:val="24"/>
        </w:rPr>
      </w:pPr>
      <w:r w:rsidRPr="00255204">
        <w:rPr>
          <w:rFonts w:eastAsia="Times New Roman" w:cs="Times New Roman"/>
          <w:sz w:val="24"/>
        </w:rPr>
        <w:t>The case of the Yangtze River basin also illustrates how LUCC reshapes landscape pattern over time. Yang et al. (2022) found that land use/cover change significantly influenced landscape configuration during 2001–2019. Although the regional context differs from Yunnan, the mechanism remains comparable: once landscape fragmentation intensifies and vegetation continuity declines, ecological regulation becomes weaker and spatial vulnerability increases. This conclusion is also supported by Wang et al. (2023), who simulated future LUCC under multiple scenarios and showed that watershed-level land transformation can substantially alter environmental trajectories.</w:t>
      </w:r>
    </w:p>
    <w:p w14:paraId="1FC4EBBC"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Vegetation </w:t>
      </w:r>
      <w:proofErr w:type="gramStart"/>
      <w:r w:rsidRPr="00255204">
        <w:rPr>
          <w:rFonts w:eastAsia="Times New Roman" w:cs="Times New Roman"/>
          <w:sz w:val="24"/>
        </w:rPr>
        <w:t>decline</w:t>
      </w:r>
      <w:proofErr w:type="gramEnd"/>
      <w:r w:rsidRPr="00255204">
        <w:rPr>
          <w:rFonts w:eastAsia="Times New Roman" w:cs="Times New Roman"/>
          <w:sz w:val="24"/>
        </w:rPr>
        <w:t xml:space="preserve"> and weakened slope protection</w:t>
      </w:r>
    </w:p>
    <w:p w14:paraId="609447D6" w14:textId="77777777" w:rsidR="00255204" w:rsidRPr="00255204" w:rsidRDefault="00255204" w:rsidP="00255204">
      <w:pPr>
        <w:rPr>
          <w:rFonts w:eastAsia="Times New Roman" w:cs="Times New Roman"/>
          <w:sz w:val="24"/>
        </w:rPr>
      </w:pPr>
      <w:r w:rsidRPr="00255204">
        <w:rPr>
          <w:rFonts w:eastAsia="Times New Roman" w:cs="Times New Roman"/>
          <w:sz w:val="24"/>
        </w:rPr>
        <w:t>A second major result is that vegetation change is central to explaining why some slopes remain stable while others become disaster-prone. Vegetation affects not only ecological appearance but also soil cohesion, water interception, infiltration, and resistance to shallow failure. Studies focusing on vegetation roots in landslide-prone areas provide especially strong evidence for this argument. Li et al. (2020) showed that vegetation root characteristics are closely related to landslide distribution in the Tianshui region, indicating that root architecture has real implications for slope stability. Wen et al. (2016) experimentally demonstrated the effects of tree roots on shallow landslide resistance and deformation, confirming that root systems enhance the mechanical resilience of slope materials.</w:t>
      </w:r>
    </w:p>
    <w:p w14:paraId="3394D3F4" w14:textId="77777777" w:rsidR="00255204" w:rsidRPr="00255204" w:rsidRDefault="00255204" w:rsidP="00255204">
      <w:pPr>
        <w:rPr>
          <w:rFonts w:eastAsia="Times New Roman" w:cs="Times New Roman"/>
          <w:sz w:val="24"/>
        </w:rPr>
      </w:pPr>
      <w:r w:rsidRPr="00255204">
        <w:rPr>
          <w:rFonts w:eastAsia="Times New Roman" w:cs="Times New Roman"/>
          <w:sz w:val="24"/>
        </w:rPr>
        <w:t>This relationship is even clearer in ecological restoration research. Li et al. (2019) found that restoration with shrub roots improved slope reinforcement in shallow landslide-prone regions. Their work suggests that vegetation rehabilitation is not only a conservation strategy but also a practical disaster mitigation measure. Similarly, Yan (2019) emphasized that vegetation coverage significantly contributes to soil and water conservation, which is crucial in mountainous areas exposed to heavy runoff.</w:t>
      </w:r>
    </w:p>
    <w:p w14:paraId="6F94111A" w14:textId="77777777" w:rsidR="00255204" w:rsidRPr="00255204" w:rsidRDefault="00255204" w:rsidP="00255204">
      <w:pPr>
        <w:rPr>
          <w:rFonts w:eastAsia="Times New Roman" w:cs="Times New Roman"/>
          <w:sz w:val="24"/>
        </w:rPr>
      </w:pPr>
      <w:r w:rsidRPr="00255204">
        <w:rPr>
          <w:rFonts w:eastAsia="Times New Roman" w:cs="Times New Roman"/>
          <w:sz w:val="24"/>
        </w:rPr>
        <w:t>When vegetation is degraded through deforestation, infrastructure development, or unsustainable land use, the soil becomes more vulnerable to erosion and shallow failure. Li et al. (2021), in studying rapid episodic erosion of a cohesionless landslide dam, showed how sediment loss and scour processes can escalate quickly once protective cover and structural resistance are insufficient. This helps explain why disturbed slopes often experience accelerated failure during rainfall events. The broader implication is that vegetation acts as a stabilizing layer in both ecological and geotechnical terms; once removed, hazard probability increases substantially.</w:t>
      </w:r>
    </w:p>
    <w:p w14:paraId="1E610E01" w14:textId="77777777" w:rsidR="00255204" w:rsidRPr="00255204" w:rsidRDefault="00255204" w:rsidP="00255204">
      <w:pPr>
        <w:rPr>
          <w:rFonts w:eastAsia="Times New Roman" w:cs="Times New Roman"/>
          <w:sz w:val="24"/>
        </w:rPr>
      </w:pPr>
      <w:r w:rsidRPr="00255204">
        <w:rPr>
          <w:rFonts w:eastAsia="Times New Roman" w:cs="Times New Roman"/>
          <w:sz w:val="24"/>
        </w:rPr>
        <w:t>Hydrological change, runoff concentration, and flood-related hazards</w:t>
      </w:r>
    </w:p>
    <w:p w14:paraId="0C630413" w14:textId="77777777" w:rsidR="00255204" w:rsidRPr="00255204" w:rsidRDefault="00255204" w:rsidP="00255204">
      <w:pPr>
        <w:rPr>
          <w:rFonts w:eastAsia="Times New Roman" w:cs="Times New Roman"/>
          <w:sz w:val="24"/>
        </w:rPr>
      </w:pPr>
      <w:r w:rsidRPr="00255204">
        <w:rPr>
          <w:rFonts w:eastAsia="Times New Roman" w:cs="Times New Roman"/>
          <w:sz w:val="24"/>
        </w:rPr>
        <w:lastRenderedPageBreak/>
        <w:t>A third result concerns the hydrological consequences of land use and climate variability. In mountainous systems, the redistribution of water is one of the most immediate pathways through which ecological change becomes geological risk. Changes in land cover influence infiltration, evapotranspiration, surface runoff, and sediment transport. Under heavy rainfall, these changes can trigger both slope failure and downstream flooding.</w:t>
      </w:r>
    </w:p>
    <w:p w14:paraId="4D9FF9DC" w14:textId="77777777" w:rsidR="00255204" w:rsidRPr="00255204" w:rsidRDefault="00255204" w:rsidP="00255204">
      <w:pPr>
        <w:rPr>
          <w:rFonts w:eastAsia="Times New Roman" w:cs="Times New Roman"/>
          <w:sz w:val="24"/>
        </w:rPr>
      </w:pPr>
      <w:r w:rsidRPr="00255204">
        <w:rPr>
          <w:rFonts w:eastAsia="Times New Roman" w:cs="Times New Roman"/>
          <w:sz w:val="24"/>
        </w:rPr>
        <w:t>Ji et al. (2021) projected future runoff variation and flood disaster trends in the Yellow River Basin using CA-Markov and SWAT, demonstrating the value of integrated modeling in predicting disaster outcomes. Although their study focuses on a different basin, the methodological insight is transferable: when land use change and hydrological processes are modeled together, the predictive understanding of disaster risk improves considerably. In Yunnan-type mountainous watersheds, where drainage density is high and elevation differences are strong, small changes in land cover can produce disproportionate hydrological effects.</w:t>
      </w:r>
    </w:p>
    <w:p w14:paraId="0D41462A" w14:textId="77777777" w:rsidR="00255204" w:rsidRPr="00255204" w:rsidRDefault="00255204" w:rsidP="00255204">
      <w:pPr>
        <w:rPr>
          <w:rFonts w:eastAsia="Times New Roman" w:cs="Times New Roman"/>
          <w:sz w:val="24"/>
        </w:rPr>
      </w:pPr>
      <w:r w:rsidRPr="00255204">
        <w:rPr>
          <w:rFonts w:eastAsia="Times New Roman" w:cs="Times New Roman"/>
          <w:sz w:val="24"/>
        </w:rPr>
        <w:t>Yang et al. (2017) analyzed the relationships between geo-hazards and river systems in Yunnan Province and showed that river dynamics are closely linked to geological disaster occurrence. This is a key result for the present study because it confirms that geo-hazards in Yunnan cannot be understood only from slope characteristics; they must also be interpreted within river-basin processes. River incision, bank erosion, and runoff concentration often interact with rainfall-triggered slope instability, producing compound hazards rather than isolated ones. Guo (2019), in examining the influence of river erosion on landslide stability, similarly concluded that fluvial erosion undermines slope support and increases the likelihood of slope failure.</w:t>
      </w:r>
    </w:p>
    <w:p w14:paraId="1C2D798C"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The role of drought and rainfall variability should also be considered. Dao et al. (2022) found that the mismatch between suitable </w:t>
      </w:r>
      <w:proofErr w:type="spellStart"/>
      <w:r w:rsidRPr="00255204">
        <w:rPr>
          <w:rFonts w:eastAsia="Times New Roman" w:cs="Times New Roman"/>
          <w:sz w:val="24"/>
        </w:rPr>
        <w:t>agro</w:t>
      </w:r>
      <w:proofErr w:type="spellEnd"/>
      <w:r w:rsidRPr="00255204">
        <w:rPr>
          <w:rFonts w:eastAsia="Times New Roman" w:cs="Times New Roman"/>
          <w:sz w:val="24"/>
        </w:rPr>
        <w:t>-climatic resource areas and main planting areas was a major reason for potato drought disaster in Inner Mongolia. While this study concerns agricultural drought, it helps show that climate-resource mismatch caused by environmental and land use change can increase disaster exposure. In mountainous systems, such mismatches may appear in the form of altered water availability, changed vegetation composition, and more intense rainfall runoff contrasts.</w:t>
      </w:r>
    </w:p>
    <w:p w14:paraId="179CC3DB" w14:textId="77777777" w:rsidR="00255204" w:rsidRPr="00255204" w:rsidRDefault="00255204" w:rsidP="00255204">
      <w:pPr>
        <w:rPr>
          <w:rFonts w:eastAsia="Times New Roman" w:cs="Times New Roman"/>
          <w:sz w:val="24"/>
        </w:rPr>
      </w:pPr>
      <w:r w:rsidRPr="00255204">
        <w:rPr>
          <w:rFonts w:eastAsia="Times New Roman" w:cs="Times New Roman"/>
          <w:sz w:val="24"/>
        </w:rPr>
        <w:t>Human disturbance as a direct hazard trigger</w:t>
      </w:r>
    </w:p>
    <w:p w14:paraId="741273C9" w14:textId="77777777" w:rsidR="00255204" w:rsidRPr="00255204" w:rsidRDefault="00255204" w:rsidP="00255204">
      <w:pPr>
        <w:rPr>
          <w:rFonts w:eastAsia="Times New Roman" w:cs="Times New Roman"/>
          <w:sz w:val="24"/>
        </w:rPr>
      </w:pPr>
      <w:r w:rsidRPr="00255204">
        <w:rPr>
          <w:rFonts w:eastAsia="Times New Roman" w:cs="Times New Roman"/>
          <w:sz w:val="24"/>
        </w:rPr>
        <w:t>Beyond broad land use transformation, direct human disturbance is repeatedly identified in the literature as a proximate cause of geological disasters. Xu et al. (2002) analyzed the mechanisms of geological hazards triggered by external disturbance and found that human-induced changes, including excavation and construction, significantly increase hazard probability. Zhou et al. (1998) also argued that human activities can induce geological disasters, especially when environmental thresholds are already close to instability.</w:t>
      </w:r>
    </w:p>
    <w:p w14:paraId="02F0CDF3"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This conclusion is strongly supported by engineering-related studies. Fan et al. (2018) examined karst tunneling hazards in the </w:t>
      </w:r>
      <w:proofErr w:type="spellStart"/>
      <w:r w:rsidRPr="00255204">
        <w:rPr>
          <w:rFonts w:eastAsia="Times New Roman" w:cs="Times New Roman"/>
          <w:sz w:val="24"/>
        </w:rPr>
        <w:t>Qinling</w:t>
      </w:r>
      <w:proofErr w:type="spellEnd"/>
      <w:r w:rsidRPr="00255204">
        <w:rPr>
          <w:rFonts w:eastAsia="Times New Roman" w:cs="Times New Roman"/>
          <w:sz w:val="24"/>
        </w:rPr>
        <w:t xml:space="preserve">-Daba mountainous area and identified complex geological and engineering factors behind disaster formation. Hongyu et al. (2020) similarly analyzed the disaster characteristics and causes of railroad slopes in mountainous regions and showed that infrastructure development in difficult terrain often intensifies instability. </w:t>
      </w:r>
      <w:proofErr w:type="spellStart"/>
      <w:r w:rsidRPr="00255204">
        <w:rPr>
          <w:rFonts w:eastAsia="Times New Roman" w:cs="Times New Roman"/>
          <w:sz w:val="24"/>
        </w:rPr>
        <w:t>Lavrusevich</w:t>
      </w:r>
      <w:proofErr w:type="spellEnd"/>
      <w:r w:rsidRPr="00255204">
        <w:rPr>
          <w:rFonts w:eastAsia="Times New Roman" w:cs="Times New Roman"/>
          <w:sz w:val="24"/>
        </w:rPr>
        <w:t xml:space="preserve"> et al. (2017) further highlighted the underestimation of slope </w:t>
      </w:r>
      <w:proofErr w:type="spellStart"/>
      <w:r w:rsidRPr="00255204">
        <w:rPr>
          <w:rFonts w:eastAsia="Times New Roman" w:cs="Times New Roman"/>
          <w:sz w:val="24"/>
        </w:rPr>
        <w:t>suffosion</w:t>
      </w:r>
      <w:proofErr w:type="spellEnd"/>
      <w:r w:rsidRPr="00255204">
        <w:rPr>
          <w:rFonts w:eastAsia="Times New Roman" w:cs="Times New Roman"/>
          <w:sz w:val="24"/>
        </w:rPr>
        <w:t xml:space="preserve"> hazards during the construction and operation of road infrastructure, suggesting that human engineering frequently creates new pathways for water infiltration and internal erosion.</w:t>
      </w:r>
    </w:p>
    <w:p w14:paraId="6B19945A"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These findings are important because they clarify that disaster risk is not only produced by long-term environmental change but can also be abruptly activated through direct disturbance. In practice, this means that a slope already weakened by vegetation loss and hydrological concentration may fail once it is cut, loaded, or drained improperly during construction. Thus, the interaction between cumulative ecological degradation and immediate engineering interference becomes a key </w:t>
      </w:r>
      <w:r w:rsidRPr="00255204">
        <w:rPr>
          <w:rFonts w:eastAsia="Times New Roman" w:cs="Times New Roman"/>
          <w:sz w:val="24"/>
        </w:rPr>
        <w:lastRenderedPageBreak/>
        <w:t>mechanism of hazard generation.</w:t>
      </w:r>
    </w:p>
    <w:p w14:paraId="4F5D3FED" w14:textId="77777777" w:rsidR="00255204" w:rsidRPr="00255204" w:rsidRDefault="00255204" w:rsidP="00255204">
      <w:pPr>
        <w:pStyle w:val="af3"/>
        <w:numPr>
          <w:ilvl w:val="0"/>
          <w:numId w:val="1"/>
        </w:numPr>
        <w:ind w:left="357" w:hanging="357"/>
        <w:rPr>
          <w:rFonts w:ascii="Times New Roman Bold" w:eastAsia="Times New Roman" w:hAnsi="Times New Roman Bold" w:cs="Times New Roman Bold"/>
          <w:b/>
          <w:sz w:val="28"/>
          <w:szCs w:val="28"/>
        </w:rPr>
      </w:pPr>
      <w:r w:rsidRPr="00255204">
        <w:rPr>
          <w:rFonts w:ascii="Times New Roman Bold" w:eastAsia="Times New Roman" w:hAnsi="Times New Roman Bold" w:cs="Times New Roman Bold"/>
          <w:b/>
          <w:sz w:val="28"/>
          <w:szCs w:val="28"/>
        </w:rPr>
        <w:t>Discussion</w:t>
      </w:r>
    </w:p>
    <w:p w14:paraId="476A41D6" w14:textId="77777777" w:rsidR="00255204" w:rsidRPr="00255204" w:rsidRDefault="00255204" w:rsidP="00255204">
      <w:pPr>
        <w:rPr>
          <w:rFonts w:eastAsia="Times New Roman" w:cs="Times New Roman"/>
          <w:sz w:val="24"/>
        </w:rPr>
      </w:pPr>
      <w:r w:rsidRPr="00255204">
        <w:rPr>
          <w:rFonts w:eastAsia="Times New Roman" w:cs="Times New Roman"/>
          <w:sz w:val="24"/>
        </w:rPr>
        <w:t>The results suggest that geological disaster risk in mountainous environments should be understood as the outcome of a coupled human–land system. This conclusion aligns with Galvani et al. (2016), who emphasized the importance of human–environment interactions in ecosystem health. In the context of geological hazards, ecosystem health can be interpreted as the capacity of land systems to absorb disturbance without collapsing into instability. When land use intensifies, vegetation declines, and hydrological processes are disrupted, this capacity weakens.</w:t>
      </w:r>
    </w:p>
    <w:p w14:paraId="526C874E" w14:textId="77777777" w:rsidR="00255204" w:rsidRPr="00255204" w:rsidRDefault="00255204" w:rsidP="00255204">
      <w:pPr>
        <w:rPr>
          <w:rFonts w:eastAsia="Times New Roman" w:cs="Times New Roman"/>
          <w:sz w:val="24"/>
        </w:rPr>
      </w:pPr>
      <w:r w:rsidRPr="00255204">
        <w:rPr>
          <w:rFonts w:eastAsia="Times New Roman" w:cs="Times New Roman"/>
          <w:sz w:val="24"/>
        </w:rPr>
        <w:t>One major implication of the study is that disaster prevention cannot rely solely on post-event engineering response. It must begin with land use planning, vegetation conservation, and ecological monitoring. Remote sensing offers particularly strong potential here. Abad-Segura et al. (2020a, 2020b) showed that remote sensing can optimize ecosystem service management, while Zheng et al. (2022) demonstrated its usefulness for monitoring potential geological hazards. This means that hazard governance should integrate ecological indicators, land use data, and deformation monitoring into a unified early-warning framework.</w:t>
      </w:r>
    </w:p>
    <w:p w14:paraId="288FB000" w14:textId="77777777" w:rsidR="00255204" w:rsidRPr="00255204" w:rsidRDefault="00255204" w:rsidP="00255204">
      <w:pPr>
        <w:rPr>
          <w:rFonts w:eastAsia="Times New Roman" w:cs="Times New Roman"/>
          <w:sz w:val="24"/>
        </w:rPr>
      </w:pPr>
      <w:r w:rsidRPr="00255204">
        <w:rPr>
          <w:rFonts w:eastAsia="Times New Roman" w:cs="Times New Roman"/>
          <w:sz w:val="24"/>
        </w:rPr>
        <w:t>A second implication concerns restoration. The literature indicates that ecological restoration can directly reduce disaster susceptibility by strengthening root networks, improving soil retention, and restoring hydrological buffering. Li et al. (2019) and Wen et al. (2016) both support the stabilizing effects of roots and vegetation rehabilitation. Therefore, restoration should not be treated as separate from hazard mitigation; it is part of hazard mitigation.</w:t>
      </w:r>
    </w:p>
    <w:p w14:paraId="2B5FC2B9" w14:textId="77777777" w:rsidR="00255204" w:rsidRPr="00255204" w:rsidRDefault="00255204" w:rsidP="00255204">
      <w:pPr>
        <w:rPr>
          <w:rFonts w:eastAsia="Times New Roman" w:cs="Times New Roman"/>
          <w:sz w:val="24"/>
        </w:rPr>
      </w:pPr>
      <w:r w:rsidRPr="00255204">
        <w:rPr>
          <w:rFonts w:eastAsia="Times New Roman" w:cs="Times New Roman"/>
          <w:sz w:val="24"/>
        </w:rPr>
        <w:t>A third implication relates to scale. Geological disaster processes operate from the plot scale to the watershed scale. Some hazards emerge from local excavation or vegetation removal, while others are shaped by basin-level runoff redistribution and landscape fragmentation. Studies such as Ji et al. (2021), Wang et al. (2023), and Yang et al. (2022) show that multi-scenario and basin-level approaches are necessary for understanding future risk. For Yunnan Province and similar regions, this means that local slope management and regional land use policy must be coordinated rather than treated independently.</w:t>
      </w:r>
    </w:p>
    <w:p w14:paraId="13BDFB11" w14:textId="77777777" w:rsidR="00255204" w:rsidRPr="00255204" w:rsidRDefault="00255204" w:rsidP="00255204">
      <w:pPr>
        <w:pStyle w:val="af3"/>
        <w:numPr>
          <w:ilvl w:val="0"/>
          <w:numId w:val="1"/>
        </w:numPr>
        <w:ind w:left="357" w:hanging="357"/>
        <w:rPr>
          <w:rFonts w:ascii="Times New Roman Bold" w:eastAsia="Times New Roman" w:hAnsi="Times New Roman Bold" w:cs="Times New Roman Bold"/>
          <w:b/>
          <w:sz w:val="28"/>
          <w:szCs w:val="28"/>
        </w:rPr>
      </w:pPr>
      <w:r w:rsidRPr="00255204">
        <w:rPr>
          <w:rFonts w:ascii="Times New Roman Bold" w:eastAsia="Times New Roman" w:hAnsi="Times New Roman Bold" w:cs="Times New Roman Bold"/>
          <w:b/>
          <w:sz w:val="28"/>
          <w:szCs w:val="28"/>
        </w:rPr>
        <w:t>Conclusion</w:t>
      </w:r>
    </w:p>
    <w:p w14:paraId="7A557611" w14:textId="77777777" w:rsidR="00255204" w:rsidRPr="00255204" w:rsidRDefault="00255204" w:rsidP="00255204">
      <w:pPr>
        <w:rPr>
          <w:rFonts w:eastAsia="Times New Roman" w:cs="Times New Roman"/>
          <w:sz w:val="24"/>
        </w:rPr>
      </w:pPr>
      <w:r w:rsidRPr="00255204">
        <w:rPr>
          <w:rFonts w:eastAsia="Times New Roman" w:cs="Times New Roman"/>
          <w:sz w:val="24"/>
        </w:rPr>
        <w:t>This study has examined the impacts of land use change, vegetation degradation, hydrological variation, and human disturbance on geological disaster occurrence in mountainous environments, with Yunnan Province serving as the main interpretive context. The overall conclusion is that geological disasters are not random or purely natural events. Rather, they emerge from the cumulative interaction between ecological transformation and physical instability. In other words, when land use intensifies, vegetation protection weakens, runoff processes become more concentrated, and direct engineering disturbance increases, the threshold for disaster occurrence declines substantially.</w:t>
      </w:r>
    </w:p>
    <w:p w14:paraId="3B9F618A" w14:textId="77777777" w:rsidR="00255204" w:rsidRPr="00255204" w:rsidRDefault="00255204" w:rsidP="00255204">
      <w:pPr>
        <w:rPr>
          <w:rFonts w:eastAsia="Times New Roman" w:cs="Times New Roman"/>
          <w:sz w:val="24"/>
        </w:rPr>
      </w:pPr>
      <w:r w:rsidRPr="00255204">
        <w:rPr>
          <w:rFonts w:eastAsia="Times New Roman" w:cs="Times New Roman"/>
          <w:sz w:val="24"/>
        </w:rPr>
        <w:t>The evidence synthesized in this paper indicates that land use/cover change is one of the most important background drivers of ecological instability. The conversion of forest, grassland, and other ecological land into cultivated, built-up, or infrastructure-dominated land changes the structure and function of the landscape. These changes reduce the capacity of ecosystems to regulate water, retain soil, and stabilize slopes. From this perspective, LUCC is not only a spatial phenomenon but also a process that transforms the mechanical and hydrological behavior of land systems (Chen et al., 2003; He et al., 2022; Zhao et al., 2022).</w:t>
      </w:r>
    </w:p>
    <w:p w14:paraId="6C6DAC3E"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The analysis also shows that vegetation plays a decisive role in mitigating disaster risk. Vegetation roots strengthen shallow soils, reduce erosion, and improve slope resistance. Once vegetation cover </w:t>
      </w:r>
      <w:r w:rsidRPr="00255204">
        <w:rPr>
          <w:rFonts w:eastAsia="Times New Roman" w:cs="Times New Roman"/>
          <w:sz w:val="24"/>
        </w:rPr>
        <w:lastRenderedPageBreak/>
        <w:t>is reduced, the stabilizing function of the ecosystem weakens, and slopes become more vulnerable to rainfall-triggered failure. Thus, vegetation restoration should be regarded as both an ecological and a geotechnical intervention. Research on root reinforcement, shrub restoration, and soil-water conservation confirms that ecosystem rehabilitation can make a meaningful contribution to geological disaster prevention (Li et al., 2019; Li et al., 2020; Wen et al., 2016; Yan, 2019).</w:t>
      </w:r>
    </w:p>
    <w:p w14:paraId="4675C0CE" w14:textId="77777777" w:rsidR="00255204" w:rsidRPr="00255204" w:rsidRDefault="00255204" w:rsidP="00255204">
      <w:pPr>
        <w:rPr>
          <w:rFonts w:eastAsia="Times New Roman" w:cs="Times New Roman"/>
          <w:sz w:val="24"/>
        </w:rPr>
      </w:pPr>
      <w:r w:rsidRPr="00255204">
        <w:rPr>
          <w:rFonts w:eastAsia="Times New Roman" w:cs="Times New Roman"/>
          <w:sz w:val="24"/>
        </w:rPr>
        <w:t>Hydrology constitutes another major mechanism through which ecological change becomes disaster risk. Changes in runoff generation, river erosion, and watershed behavior can accelerate both landslides and flood-related hazards. In mountainous provinces such as Yunnan, where river systems, elevation gradients, and seasonal rainfall interact strongly, hydrological concentration amplifies the effects of land degradation and engineering disturbance. The literature therefore supports a watershed-based understanding of disaster formation, rather than a narrow slope-by-slope interpretation (Guo, 2019; Ji et al., 2021; Yang et al., 2017).</w:t>
      </w:r>
    </w:p>
    <w:p w14:paraId="2E728976" w14:textId="77777777" w:rsidR="00255204" w:rsidRPr="00255204" w:rsidRDefault="00255204" w:rsidP="00255204">
      <w:pPr>
        <w:rPr>
          <w:rFonts w:eastAsia="Times New Roman" w:cs="Times New Roman"/>
          <w:sz w:val="24"/>
        </w:rPr>
      </w:pPr>
      <w:r w:rsidRPr="00255204">
        <w:rPr>
          <w:rFonts w:eastAsia="Times New Roman" w:cs="Times New Roman"/>
          <w:sz w:val="24"/>
        </w:rPr>
        <w:t xml:space="preserve">The findings further suggest that human activities often act as direct triggers of geological hazards. Infrastructure construction, road cutting, tunneling, excavation, and slope modification can all disturb already sensitive terrain. Where ecological resilience has already been weakened by vegetation loss or land use conversion, such interventions may rapidly activate disaster processes. This means that risk governance in mountainous regions must pay much closer attention to the interaction between long-term ecological change and short-term engineering activity (Fan et al., 2018; Hongyu et al., 2020; </w:t>
      </w:r>
      <w:proofErr w:type="spellStart"/>
      <w:r w:rsidRPr="00255204">
        <w:rPr>
          <w:rFonts w:eastAsia="Times New Roman" w:cs="Times New Roman"/>
          <w:sz w:val="24"/>
        </w:rPr>
        <w:t>Lavrusevich</w:t>
      </w:r>
      <w:proofErr w:type="spellEnd"/>
      <w:r w:rsidRPr="00255204">
        <w:rPr>
          <w:rFonts w:eastAsia="Times New Roman" w:cs="Times New Roman"/>
          <w:sz w:val="24"/>
        </w:rPr>
        <w:t xml:space="preserve"> et al., 2017; Xu et al., 2002; Zhou et al., 1998).</w:t>
      </w:r>
    </w:p>
    <w:p w14:paraId="7B10398C" w14:textId="77777777" w:rsidR="00255204" w:rsidRPr="00255204" w:rsidRDefault="00255204" w:rsidP="00255204">
      <w:pPr>
        <w:rPr>
          <w:rFonts w:eastAsia="Times New Roman" w:cs="Times New Roman"/>
          <w:sz w:val="24"/>
        </w:rPr>
      </w:pPr>
      <w:r w:rsidRPr="00255204">
        <w:rPr>
          <w:rFonts w:eastAsia="Times New Roman" w:cs="Times New Roman"/>
          <w:sz w:val="24"/>
        </w:rPr>
        <w:t>From a practical perspective, the study points to four main directions for natural science-based disaster reduction. First, land use planning should incorporate geological sensitivity and ecological carrying capacity. Second, vegetation conservation and ecological restoration should be integrated into hazard prevention policy. Third, remote sensing, InSAR, and terrain visualization technologies should be used more systematically to monitor unstable areas and identify early signs of environmental stress. Fourth, watershed-scale modeling should be combined with local slope management so that disaster prevention can respond to both regional and site-specific dynamics (Abad-Segura et al., 2020a, 2020b; Wang et al., 2023; Yu et al., 2016; Zheng et al., 2022).</w:t>
      </w:r>
    </w:p>
    <w:p w14:paraId="387CAD37" w14:textId="77777777" w:rsidR="00255204" w:rsidRPr="00255204" w:rsidRDefault="00255204" w:rsidP="00255204">
      <w:pPr>
        <w:rPr>
          <w:rFonts w:eastAsia="Times New Roman" w:cs="Times New Roman"/>
          <w:sz w:val="24"/>
        </w:rPr>
      </w:pPr>
      <w:r w:rsidRPr="00255204">
        <w:rPr>
          <w:rFonts w:eastAsia="Times New Roman" w:cs="Times New Roman"/>
          <w:sz w:val="24"/>
        </w:rPr>
        <w:t>This paper is also subject to certain limitations. Because it is based on bounded literature synthesis from the reference set provided, it does not include new field data, statistical testing, or case-specific mapping for Yunnan Province. Therefore, its contribution lies primarily in conceptual integration and mechanism interpretation rather than empirical verification. Future research could build on this framework by combining multi-temporal remote sensing data, digital elevation models, rainfall records, and field investigations to construct a more detailed spatial risk model for Yunnan and other mountainous regions.</w:t>
      </w:r>
    </w:p>
    <w:p w14:paraId="220DEC7A" w14:textId="77777777" w:rsidR="00255204" w:rsidRPr="00255204" w:rsidRDefault="00255204" w:rsidP="00255204">
      <w:pPr>
        <w:rPr>
          <w:rFonts w:eastAsia="Times New Roman" w:cs="Times New Roman"/>
          <w:sz w:val="24"/>
        </w:rPr>
      </w:pPr>
      <w:r w:rsidRPr="00255204">
        <w:rPr>
          <w:rFonts w:eastAsia="Times New Roman" w:cs="Times New Roman"/>
          <w:sz w:val="24"/>
        </w:rPr>
        <w:t>Overall, the study contributes to the natural science understanding of geological disasters by demonstrating that hazard occurrence is deeply shaped by the coupling of ecological processes and human-induced land transformation. In mountainous regions facing rapid development and climate variability, disaster prevention requires not only technical engineering solutions but also a more ecologically informed understanding of land systems. Only by integrating land use governance, vegetation restoration, hydrological analysis, and hazard monitoring can geological risk be reduced in a more sustainable and scientifically grounded way.</w:t>
      </w:r>
    </w:p>
    <w:p w14:paraId="551FF932" w14:textId="46EFB24F" w:rsidR="00B043FB" w:rsidRDefault="00B043FB">
      <w:pPr>
        <w:rPr>
          <w:rFonts w:eastAsia="Times New Roman" w:cs="Times New Roman"/>
          <w:sz w:val="24"/>
        </w:rPr>
      </w:pPr>
    </w:p>
    <w:p w14:paraId="46A7C3DD" w14:textId="77777777" w:rsidR="00B043FB" w:rsidRDefault="00B043FB">
      <w:pPr>
        <w:rPr>
          <w:rFonts w:eastAsia="Times New Roman" w:cs="Times New Roman"/>
          <w:sz w:val="24"/>
        </w:rPr>
      </w:pPr>
    </w:p>
    <w:p w14:paraId="2FA2EC97" w14:textId="77777777" w:rsidR="00B043FB" w:rsidRDefault="00000000">
      <w:pPr>
        <w:widowControl/>
        <w:spacing w:after="240"/>
        <w:rPr>
          <w:rFonts w:eastAsia="Calibri" w:cs="Times New Roman"/>
          <w:kern w:val="0"/>
          <w:sz w:val="24"/>
          <w:lang w:bidi="ar"/>
        </w:rPr>
      </w:pPr>
      <w:r>
        <w:rPr>
          <w:rFonts w:ascii="Times New Roman Bold" w:eastAsia="Times New Roman" w:hAnsi="Times New Roman Bold" w:cs="Times New Roman Bold"/>
          <w:b/>
          <w:sz w:val="24"/>
        </w:rPr>
        <w:t>Acknowledgments</w:t>
      </w:r>
    </w:p>
    <w:p w14:paraId="185B3426" w14:textId="77777777" w:rsidR="00B043FB" w:rsidRDefault="00000000">
      <w:pPr>
        <w:rPr>
          <w:rFonts w:eastAsiaTheme="minorEastAsia" w:cs="Times New Roman"/>
          <w:sz w:val="24"/>
        </w:rPr>
      </w:pPr>
      <w:r>
        <w:rPr>
          <w:rFonts w:cs="Times New Roman"/>
          <w:sz w:val="24"/>
        </w:rPr>
        <w:t>We are grateful to all respondents who participated in this study.</w:t>
      </w:r>
    </w:p>
    <w:p w14:paraId="0F43B643" w14:textId="77777777" w:rsidR="00B043FB" w:rsidRDefault="00000000">
      <w:pPr>
        <w:pStyle w:val="a8"/>
        <w:widowControl/>
        <w:jc w:val="both"/>
        <w:rPr>
          <w:rFonts w:ascii="Times New Roman Bold" w:eastAsia="宋体" w:hAnsi="Times New Roman Bold" w:cs="Times New Roman Bold"/>
          <w:b/>
        </w:rPr>
      </w:pPr>
      <w:r>
        <w:rPr>
          <w:rFonts w:ascii="Times New Roman Bold" w:eastAsia="Times New Roman" w:hAnsi="Times New Roman Bold" w:cs="Times New Roman Bold"/>
          <w:b/>
        </w:rPr>
        <w:lastRenderedPageBreak/>
        <w:t>References</w:t>
      </w:r>
      <w:r>
        <w:rPr>
          <w:rFonts w:ascii="Times New Roman Bold" w:eastAsia="宋体" w:hAnsi="Times New Roman Bold" w:cs="Times New Roman Bold"/>
          <w:b/>
        </w:rPr>
        <w:t xml:space="preserve">  </w:t>
      </w:r>
    </w:p>
    <w:p w14:paraId="62C2E1A5"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Abad-Segura, E., Gonz</w:t>
      </w:r>
      <w:r w:rsidRPr="008534F2">
        <w:rPr>
          <w:rFonts w:eastAsiaTheme="minorEastAsia" w:hint="eastAsia"/>
        </w:rPr>
        <w:t>á</w:t>
      </w:r>
      <w:r w:rsidRPr="008534F2">
        <w:rPr>
          <w:rFonts w:eastAsiaTheme="minorEastAsia" w:hint="eastAsia"/>
        </w:rPr>
        <w:t>lez-Zamar, M.-D., V</w:t>
      </w:r>
      <w:r w:rsidRPr="008534F2">
        <w:rPr>
          <w:rFonts w:eastAsiaTheme="minorEastAsia" w:hint="eastAsia"/>
        </w:rPr>
        <w:t>á</w:t>
      </w:r>
      <w:proofErr w:type="spellStart"/>
      <w:r w:rsidRPr="008534F2">
        <w:rPr>
          <w:rFonts w:eastAsiaTheme="minorEastAsia" w:hint="eastAsia"/>
        </w:rPr>
        <w:t>zquez-Cano</w:t>
      </w:r>
      <w:proofErr w:type="spellEnd"/>
      <w:r w:rsidRPr="008534F2">
        <w:rPr>
          <w:rFonts w:eastAsiaTheme="minorEastAsia" w:hint="eastAsia"/>
        </w:rPr>
        <w:t>, E., &amp; L</w:t>
      </w:r>
      <w:r w:rsidRPr="008534F2">
        <w:rPr>
          <w:rFonts w:eastAsiaTheme="minorEastAsia" w:hint="eastAsia"/>
        </w:rPr>
        <w:t>ó</w:t>
      </w:r>
      <w:proofErr w:type="spellStart"/>
      <w:r w:rsidRPr="008534F2">
        <w:rPr>
          <w:rFonts w:eastAsiaTheme="minorEastAsia" w:hint="eastAsia"/>
        </w:rPr>
        <w:t>pez</w:t>
      </w:r>
      <w:proofErr w:type="spellEnd"/>
      <w:r w:rsidRPr="008534F2">
        <w:rPr>
          <w:rFonts w:eastAsiaTheme="minorEastAsia" w:hint="eastAsia"/>
        </w:rPr>
        <w:t>-Meneses, E. (2020a). Remote sensing applied in forest management to optimize ecosystem services: advances in research forests. Forests, 11(9), 969.</w:t>
      </w:r>
    </w:p>
    <w:p w14:paraId="69575739"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Abad-Segura, E., Gonz</w:t>
      </w:r>
      <w:r w:rsidRPr="008534F2">
        <w:rPr>
          <w:rFonts w:eastAsiaTheme="minorEastAsia" w:hint="eastAsia"/>
        </w:rPr>
        <w:t>á</w:t>
      </w:r>
      <w:r w:rsidRPr="008534F2">
        <w:rPr>
          <w:rFonts w:eastAsiaTheme="minorEastAsia" w:hint="eastAsia"/>
        </w:rPr>
        <w:t>lez-Zamar, M.-D., V</w:t>
      </w:r>
      <w:r w:rsidRPr="008534F2">
        <w:rPr>
          <w:rFonts w:eastAsiaTheme="minorEastAsia" w:hint="eastAsia"/>
        </w:rPr>
        <w:t>á</w:t>
      </w:r>
      <w:proofErr w:type="spellStart"/>
      <w:r w:rsidRPr="008534F2">
        <w:rPr>
          <w:rFonts w:eastAsiaTheme="minorEastAsia" w:hint="eastAsia"/>
        </w:rPr>
        <w:t>zquez-Cano</w:t>
      </w:r>
      <w:proofErr w:type="spellEnd"/>
      <w:r w:rsidRPr="008534F2">
        <w:rPr>
          <w:rFonts w:eastAsiaTheme="minorEastAsia" w:hint="eastAsia"/>
        </w:rPr>
        <w:t>, E., &amp; L</w:t>
      </w:r>
      <w:r w:rsidRPr="008534F2">
        <w:rPr>
          <w:rFonts w:eastAsiaTheme="minorEastAsia" w:hint="eastAsia"/>
        </w:rPr>
        <w:t>ó</w:t>
      </w:r>
      <w:proofErr w:type="spellStart"/>
      <w:r w:rsidRPr="008534F2">
        <w:rPr>
          <w:rFonts w:eastAsiaTheme="minorEastAsia" w:hint="eastAsia"/>
        </w:rPr>
        <w:t>pez</w:t>
      </w:r>
      <w:proofErr w:type="spellEnd"/>
      <w:r w:rsidRPr="008534F2">
        <w:rPr>
          <w:rFonts w:eastAsiaTheme="minorEastAsia" w:hint="eastAsia"/>
        </w:rPr>
        <w:t>-Meneses, E. (2020b). Remote sensing applied in forest management to optimize ecosystem services. Advances in Research in Forests, 11(9), 969.</w:t>
      </w:r>
    </w:p>
    <w:p w14:paraId="56BA0F34"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Chen, B., Liu, X., &amp; Yang, H. (2003). Review of most recent progresses of study on land use and land cover change. Progress in Geography, 22, 22</w:t>
      </w:r>
      <w:r w:rsidRPr="008534F2">
        <w:rPr>
          <w:rFonts w:eastAsiaTheme="minorEastAsia" w:hint="eastAsia"/>
        </w:rPr>
        <w:t>–</w:t>
      </w:r>
      <w:r w:rsidRPr="008534F2">
        <w:rPr>
          <w:rFonts w:eastAsiaTheme="minorEastAsia" w:hint="eastAsia"/>
        </w:rPr>
        <w:t>29.</w:t>
      </w:r>
    </w:p>
    <w:p w14:paraId="3AE63481"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 xml:space="preserve">Dao, R., Suri, G., </w:t>
      </w:r>
      <w:proofErr w:type="spellStart"/>
      <w:r w:rsidRPr="008534F2">
        <w:rPr>
          <w:rFonts w:eastAsiaTheme="minorEastAsia" w:hint="eastAsia"/>
        </w:rPr>
        <w:t>Yongbin</w:t>
      </w:r>
      <w:proofErr w:type="spellEnd"/>
      <w:r w:rsidRPr="008534F2">
        <w:rPr>
          <w:rFonts w:eastAsiaTheme="minorEastAsia" w:hint="eastAsia"/>
        </w:rPr>
        <w:t xml:space="preserve">, B., </w:t>
      </w:r>
      <w:proofErr w:type="spellStart"/>
      <w:r w:rsidRPr="008534F2">
        <w:rPr>
          <w:rFonts w:eastAsiaTheme="minorEastAsia" w:hint="eastAsia"/>
        </w:rPr>
        <w:t>Xingping</w:t>
      </w:r>
      <w:proofErr w:type="spellEnd"/>
      <w:r w:rsidRPr="008534F2">
        <w:rPr>
          <w:rFonts w:eastAsiaTheme="minorEastAsia" w:hint="eastAsia"/>
        </w:rPr>
        <w:t xml:space="preserve">, L., Zhijun, T., &amp; Jiquan, Z. (2022). Non-overlap of suitable areas of </w:t>
      </w:r>
      <w:proofErr w:type="spellStart"/>
      <w:r w:rsidRPr="008534F2">
        <w:rPr>
          <w:rFonts w:eastAsiaTheme="minorEastAsia" w:hint="eastAsia"/>
        </w:rPr>
        <w:t>agro</w:t>
      </w:r>
      <w:proofErr w:type="spellEnd"/>
      <w:r w:rsidRPr="008534F2">
        <w:rPr>
          <w:rFonts w:eastAsiaTheme="minorEastAsia" w:hint="eastAsia"/>
        </w:rPr>
        <w:t>-climatic resources and main planting areas is the main reason for potato drought disaster in Inner Mongolia, China. Agricultural Water Management.</w:t>
      </w:r>
    </w:p>
    <w:p w14:paraId="2C7900F2"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 xml:space="preserve">Fan, H., Zhang, Y., He, S., Wang, K., Wang, X., &amp; Wang, H. (2018). Hazards and treatment of karst tunneling in </w:t>
      </w:r>
      <w:proofErr w:type="spellStart"/>
      <w:r w:rsidRPr="008534F2">
        <w:rPr>
          <w:rFonts w:eastAsiaTheme="minorEastAsia" w:hint="eastAsia"/>
        </w:rPr>
        <w:t>Qinling</w:t>
      </w:r>
      <w:proofErr w:type="spellEnd"/>
      <w:r w:rsidRPr="008534F2">
        <w:rPr>
          <w:rFonts w:eastAsiaTheme="minorEastAsia" w:hint="eastAsia"/>
        </w:rPr>
        <w:t>-Daba mountainous area: Overview and lessons learnt from Yichang-Wanzhou railway system. Environmental Earth Sciences, 77(19).</w:t>
      </w:r>
    </w:p>
    <w:p w14:paraId="392613B7"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Galvani, A. P., Bauch, C. T., Anand, M., Singer, B. H., &amp; Levin, S. A. (2016). Human</w:t>
      </w:r>
      <w:r w:rsidRPr="008534F2">
        <w:rPr>
          <w:rFonts w:eastAsiaTheme="minorEastAsia" w:hint="eastAsia"/>
        </w:rPr>
        <w:t>–</w:t>
      </w:r>
      <w:r w:rsidRPr="008534F2">
        <w:rPr>
          <w:rFonts w:eastAsiaTheme="minorEastAsia" w:hint="eastAsia"/>
        </w:rPr>
        <w:t>environment interactions in population and ecosystem health. Proceedings of the National Academy of Sciences, 113(51), 14502</w:t>
      </w:r>
      <w:r w:rsidRPr="008534F2">
        <w:rPr>
          <w:rFonts w:eastAsiaTheme="minorEastAsia" w:hint="eastAsia"/>
        </w:rPr>
        <w:t>–</w:t>
      </w:r>
      <w:r w:rsidRPr="008534F2">
        <w:rPr>
          <w:rFonts w:eastAsiaTheme="minorEastAsia" w:hint="eastAsia"/>
        </w:rPr>
        <w:t>14506.</w:t>
      </w:r>
    </w:p>
    <w:p w14:paraId="04CF181E"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Guo, J. (2019). Study on the influence of river erosion on landslide stability. Gansu Water Resources and Hydropower Technology, 55, 38</w:t>
      </w:r>
      <w:r w:rsidRPr="008534F2">
        <w:rPr>
          <w:rFonts w:eastAsiaTheme="minorEastAsia" w:hint="eastAsia"/>
        </w:rPr>
        <w:t>–</w:t>
      </w:r>
      <w:r w:rsidRPr="008534F2">
        <w:rPr>
          <w:rFonts w:eastAsiaTheme="minorEastAsia" w:hint="eastAsia"/>
        </w:rPr>
        <w:t>41, 45.</w:t>
      </w:r>
    </w:p>
    <w:p w14:paraId="17DCF910"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He, C., Zhang, J., Liu, Z., &amp; Huang, Q. (2022). Characteristics and progress of land use/cover change research during 1990</w:t>
      </w:r>
      <w:r w:rsidRPr="008534F2">
        <w:rPr>
          <w:rFonts w:eastAsiaTheme="minorEastAsia" w:hint="eastAsia"/>
        </w:rPr>
        <w:t>–</w:t>
      </w:r>
      <w:r w:rsidRPr="008534F2">
        <w:rPr>
          <w:rFonts w:eastAsiaTheme="minorEastAsia" w:hint="eastAsia"/>
        </w:rPr>
        <w:t xml:space="preserve">2018. Acta </w:t>
      </w:r>
      <w:proofErr w:type="spellStart"/>
      <w:r w:rsidRPr="008534F2">
        <w:rPr>
          <w:rFonts w:eastAsiaTheme="minorEastAsia" w:hint="eastAsia"/>
        </w:rPr>
        <w:t>Geographica</w:t>
      </w:r>
      <w:proofErr w:type="spellEnd"/>
      <w:r w:rsidRPr="008534F2">
        <w:rPr>
          <w:rFonts w:eastAsiaTheme="minorEastAsia" w:hint="eastAsia"/>
        </w:rPr>
        <w:t xml:space="preserve"> Sinica, 32(3), 537</w:t>
      </w:r>
      <w:r w:rsidRPr="008534F2">
        <w:rPr>
          <w:rFonts w:eastAsiaTheme="minorEastAsia" w:hint="eastAsia"/>
        </w:rPr>
        <w:t>–</w:t>
      </w:r>
      <w:r w:rsidRPr="008534F2">
        <w:rPr>
          <w:rFonts w:eastAsiaTheme="minorEastAsia" w:hint="eastAsia"/>
        </w:rPr>
        <w:t>559.</w:t>
      </w:r>
    </w:p>
    <w:p w14:paraId="134B9D34"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 xml:space="preserve">Hongyu, L., </w:t>
      </w:r>
      <w:proofErr w:type="spellStart"/>
      <w:r w:rsidRPr="008534F2">
        <w:rPr>
          <w:rFonts w:eastAsiaTheme="minorEastAsia" w:hint="eastAsia"/>
        </w:rPr>
        <w:t>Xianjie</w:t>
      </w:r>
      <w:proofErr w:type="spellEnd"/>
      <w:r w:rsidRPr="008534F2">
        <w:rPr>
          <w:rFonts w:eastAsiaTheme="minorEastAsia" w:hint="eastAsia"/>
        </w:rPr>
        <w:t xml:space="preserve">, M., Jian, L., Jiaming, L., Wei, L., &amp; </w:t>
      </w:r>
      <w:proofErr w:type="spellStart"/>
      <w:r w:rsidRPr="008534F2">
        <w:rPr>
          <w:rFonts w:eastAsiaTheme="minorEastAsia" w:hint="eastAsia"/>
        </w:rPr>
        <w:t>Lijie</w:t>
      </w:r>
      <w:proofErr w:type="spellEnd"/>
      <w:r w:rsidRPr="008534F2">
        <w:rPr>
          <w:rFonts w:eastAsiaTheme="minorEastAsia" w:hint="eastAsia"/>
        </w:rPr>
        <w:t>, H. (2020). Disaster characteristics and cause analysis of railroad slope in complicated and dangerous mountainous areas. IOP Conference Series: Earth and Environmental Science.</w:t>
      </w:r>
    </w:p>
    <w:p w14:paraId="56DA84D1"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Ji, G., Lai, Z., Xia, H., Liu, H., &amp; Wang, Z. (2021). Future runoff variation and flood disaster prediction of the Yellow River Basin based on CA-Markov and SWAT. Land, 10(4), 421.</w:t>
      </w:r>
    </w:p>
    <w:p w14:paraId="18263738"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 xml:space="preserve">Karsli, F., Atasoy, M., Yalcin, A., Reis, S., Demir, O., &amp; </w:t>
      </w:r>
      <w:proofErr w:type="spellStart"/>
      <w:r w:rsidRPr="008534F2">
        <w:rPr>
          <w:rFonts w:eastAsiaTheme="minorEastAsia" w:hint="eastAsia"/>
        </w:rPr>
        <w:t>Gokceoglu</w:t>
      </w:r>
      <w:proofErr w:type="spellEnd"/>
      <w:r w:rsidRPr="008534F2">
        <w:rPr>
          <w:rFonts w:eastAsiaTheme="minorEastAsia" w:hint="eastAsia"/>
        </w:rPr>
        <w:t>, C. (2009). Effects of land-use changes on landslides in a landslide-prone area (</w:t>
      </w:r>
      <w:proofErr w:type="spellStart"/>
      <w:r w:rsidRPr="008534F2">
        <w:rPr>
          <w:rFonts w:eastAsiaTheme="minorEastAsia" w:hint="eastAsia"/>
        </w:rPr>
        <w:t>Ardesen</w:t>
      </w:r>
      <w:proofErr w:type="spellEnd"/>
      <w:r w:rsidRPr="008534F2">
        <w:rPr>
          <w:rFonts w:eastAsiaTheme="minorEastAsia" w:hint="eastAsia"/>
        </w:rPr>
        <w:t>, Rize, NE Turkey). Environmental Monitoring and Assessment, 156(1</w:t>
      </w:r>
      <w:r w:rsidRPr="008534F2">
        <w:rPr>
          <w:rFonts w:eastAsiaTheme="minorEastAsia" w:hint="eastAsia"/>
        </w:rPr>
        <w:t>–</w:t>
      </w:r>
      <w:r w:rsidRPr="008534F2">
        <w:rPr>
          <w:rFonts w:eastAsiaTheme="minorEastAsia" w:hint="eastAsia"/>
        </w:rPr>
        <w:t>4), 241</w:t>
      </w:r>
      <w:r w:rsidRPr="008534F2">
        <w:rPr>
          <w:rFonts w:eastAsiaTheme="minorEastAsia" w:hint="eastAsia"/>
        </w:rPr>
        <w:t>–</w:t>
      </w:r>
      <w:r w:rsidRPr="008534F2">
        <w:rPr>
          <w:rFonts w:eastAsiaTheme="minorEastAsia" w:hint="eastAsia"/>
        </w:rPr>
        <w:t>255.</w:t>
      </w:r>
    </w:p>
    <w:p w14:paraId="0D212B66"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proofErr w:type="spellStart"/>
      <w:r w:rsidRPr="008534F2">
        <w:rPr>
          <w:rFonts w:eastAsiaTheme="minorEastAsia" w:hint="eastAsia"/>
        </w:rPr>
        <w:t>Lavrusevich</w:t>
      </w:r>
      <w:proofErr w:type="spellEnd"/>
      <w:r w:rsidRPr="008534F2">
        <w:rPr>
          <w:rFonts w:eastAsiaTheme="minorEastAsia" w:hint="eastAsia"/>
        </w:rPr>
        <w:t xml:space="preserve">, I. A., </w:t>
      </w:r>
      <w:proofErr w:type="spellStart"/>
      <w:r w:rsidRPr="008534F2">
        <w:rPr>
          <w:rFonts w:eastAsiaTheme="minorEastAsia" w:hint="eastAsia"/>
        </w:rPr>
        <w:t>Podlesnykh</w:t>
      </w:r>
      <w:proofErr w:type="spellEnd"/>
      <w:r w:rsidRPr="008534F2">
        <w:rPr>
          <w:rFonts w:eastAsiaTheme="minorEastAsia" w:hint="eastAsia"/>
        </w:rPr>
        <w:t xml:space="preserve">, A. I., &amp; </w:t>
      </w:r>
      <w:proofErr w:type="spellStart"/>
      <w:r w:rsidRPr="008534F2">
        <w:rPr>
          <w:rFonts w:eastAsiaTheme="minorEastAsia" w:hint="eastAsia"/>
        </w:rPr>
        <w:t>Lavrusevich</w:t>
      </w:r>
      <w:proofErr w:type="spellEnd"/>
      <w:r w:rsidRPr="008534F2">
        <w:rPr>
          <w:rFonts w:eastAsiaTheme="minorEastAsia" w:hint="eastAsia"/>
        </w:rPr>
        <w:t xml:space="preserve">, A. A. (2017). On underestimation of the slope </w:t>
      </w:r>
      <w:proofErr w:type="spellStart"/>
      <w:r w:rsidRPr="008534F2">
        <w:rPr>
          <w:rFonts w:eastAsiaTheme="minorEastAsia" w:hint="eastAsia"/>
        </w:rPr>
        <w:t>suffosion</w:t>
      </w:r>
      <w:proofErr w:type="spellEnd"/>
      <w:r w:rsidRPr="008534F2">
        <w:rPr>
          <w:rFonts w:eastAsiaTheme="minorEastAsia" w:hint="eastAsia"/>
        </w:rPr>
        <w:t xml:space="preserve"> hazard at the construction and operation of side slopes of road infrastructure. Engineering Geology, 3, 44</w:t>
      </w:r>
      <w:r w:rsidRPr="008534F2">
        <w:rPr>
          <w:rFonts w:eastAsiaTheme="minorEastAsia" w:hint="eastAsia"/>
        </w:rPr>
        <w:t>–</w:t>
      </w:r>
      <w:r w:rsidRPr="008534F2">
        <w:rPr>
          <w:rFonts w:eastAsiaTheme="minorEastAsia" w:hint="eastAsia"/>
        </w:rPr>
        <w:t>50.</w:t>
      </w:r>
    </w:p>
    <w:p w14:paraId="4C8AA98B"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 xml:space="preserve">Li, J., Wang, X., Jia, H., Zhao, Y., Ou, Y., &amp; Liu, Y. (2019). Ecological restoration with shrub roots for slope reinforcement in a shallow landslide-prone region. Acta </w:t>
      </w:r>
      <w:proofErr w:type="spellStart"/>
      <w:r w:rsidRPr="008534F2">
        <w:rPr>
          <w:rFonts w:eastAsiaTheme="minorEastAsia" w:hint="eastAsia"/>
        </w:rPr>
        <w:t>Geographica</w:t>
      </w:r>
      <w:proofErr w:type="spellEnd"/>
      <w:r w:rsidRPr="008534F2">
        <w:rPr>
          <w:rFonts w:eastAsiaTheme="minorEastAsia" w:hint="eastAsia"/>
        </w:rPr>
        <w:t xml:space="preserve"> Sinica, 39, 5117</w:t>
      </w:r>
      <w:r w:rsidRPr="008534F2">
        <w:rPr>
          <w:rFonts w:eastAsiaTheme="minorEastAsia" w:hint="eastAsia"/>
        </w:rPr>
        <w:t>–</w:t>
      </w:r>
      <w:r w:rsidRPr="008534F2">
        <w:rPr>
          <w:rFonts w:eastAsiaTheme="minorEastAsia" w:hint="eastAsia"/>
        </w:rPr>
        <w:t>5126.</w:t>
      </w:r>
    </w:p>
    <w:p w14:paraId="7E9709E4"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Li, M., Wang, Y., Wang, Y., Zhang, J., Dai, Z., &amp; Wang, L. (2020). Landslide distribution and vegetation root characteristics in landslide prone area of Tianshui, Gansu. Journal of Soil and Water Conservation, 34, 101</w:t>
      </w:r>
      <w:r w:rsidRPr="008534F2">
        <w:rPr>
          <w:rFonts w:eastAsiaTheme="minorEastAsia" w:hint="eastAsia"/>
        </w:rPr>
        <w:t>–</w:t>
      </w:r>
      <w:r w:rsidRPr="008534F2">
        <w:rPr>
          <w:rFonts w:eastAsiaTheme="minorEastAsia" w:hint="eastAsia"/>
        </w:rPr>
        <w:t>109, 116.</w:t>
      </w:r>
    </w:p>
    <w:p w14:paraId="03636C37"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lastRenderedPageBreak/>
        <w:t xml:space="preserve">Li, Y., Hu, W., Wasowski, J., Zheng, Y., </w:t>
      </w:r>
      <w:proofErr w:type="spellStart"/>
      <w:r w:rsidRPr="008534F2">
        <w:rPr>
          <w:rFonts w:eastAsiaTheme="minorEastAsia" w:hint="eastAsia"/>
        </w:rPr>
        <w:t>McSaveney</w:t>
      </w:r>
      <w:proofErr w:type="spellEnd"/>
      <w:r w:rsidRPr="008534F2">
        <w:rPr>
          <w:rFonts w:eastAsiaTheme="minorEastAsia" w:hint="eastAsia"/>
        </w:rPr>
        <w:t xml:space="preserve">, M., et al. (2021). Rapid episodic erosion of a cohesionless landslide dam: Insights from loss to scour of </w:t>
      </w:r>
      <w:proofErr w:type="spellStart"/>
      <w:r w:rsidRPr="008534F2">
        <w:rPr>
          <w:rFonts w:eastAsiaTheme="minorEastAsia" w:hint="eastAsia"/>
        </w:rPr>
        <w:t>Yangjia</w:t>
      </w:r>
      <w:proofErr w:type="spellEnd"/>
      <w:r w:rsidRPr="008534F2">
        <w:rPr>
          <w:rFonts w:eastAsiaTheme="minorEastAsia" w:hint="eastAsia"/>
        </w:rPr>
        <w:t xml:space="preserve"> Gully check dams and from flume experiments. Engineering Geology, 280, 105971.</w:t>
      </w:r>
    </w:p>
    <w:p w14:paraId="183B1B2D"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Wang, Q., Guan, Q., Sun, Y., Du, Q., Xiao, X., Luo, H., Zhang, J., &amp; Mi, J. (2023). Simulation of future land use/cover change (LUCC) in typical watersheds of arid regions under multiple scenarios. Journal of Environmental Management, 335, 117543.</w:t>
      </w:r>
    </w:p>
    <w:p w14:paraId="2E8E52BC"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Wen, W., Li, G., Hu, W., Liu, H., Xiang, W., &amp; Xiang, H. (2016). Experimental study on effect of slide resistance and deformation of tree</w:t>
      </w:r>
      <w:r w:rsidRPr="008534F2">
        <w:rPr>
          <w:rFonts w:eastAsiaTheme="minorEastAsia" w:hint="eastAsia"/>
        </w:rPr>
        <w:t>’</w:t>
      </w:r>
      <w:r w:rsidRPr="008534F2">
        <w:rPr>
          <w:rFonts w:eastAsiaTheme="minorEastAsia" w:hint="eastAsia"/>
        </w:rPr>
        <w:t>s root in shallow landslide. Journal of Disaster Prevention and Mitigation Engineering, 36, 588</w:t>
      </w:r>
      <w:r w:rsidRPr="008534F2">
        <w:rPr>
          <w:rFonts w:eastAsiaTheme="minorEastAsia" w:hint="eastAsia"/>
        </w:rPr>
        <w:t>–</w:t>
      </w:r>
      <w:r w:rsidRPr="008534F2">
        <w:rPr>
          <w:rFonts w:eastAsiaTheme="minorEastAsia" w:hint="eastAsia"/>
        </w:rPr>
        <w:t>594.</w:t>
      </w:r>
    </w:p>
    <w:p w14:paraId="2508B16B"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Xu, H. (2008). A new index for delineating built-up land features in satellite imagery. International Journal of Remote Sensing, 29(14), 4269</w:t>
      </w:r>
      <w:r w:rsidRPr="008534F2">
        <w:rPr>
          <w:rFonts w:eastAsiaTheme="minorEastAsia" w:hint="eastAsia"/>
        </w:rPr>
        <w:t>–</w:t>
      </w:r>
      <w:r w:rsidRPr="008534F2">
        <w:rPr>
          <w:rFonts w:eastAsiaTheme="minorEastAsia" w:hint="eastAsia"/>
        </w:rPr>
        <w:t>4276.</w:t>
      </w:r>
    </w:p>
    <w:p w14:paraId="598B1569"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Xu, Q., Huang, R., &amp; Wang, L. (2002). Mechanism analysis on geological hazards triggered by external disturbance. Chinese Journal of Rock Mechanics and Engineering, 280</w:t>
      </w:r>
      <w:r w:rsidRPr="008534F2">
        <w:rPr>
          <w:rFonts w:eastAsiaTheme="minorEastAsia" w:hint="eastAsia"/>
        </w:rPr>
        <w:t>–</w:t>
      </w:r>
      <w:r w:rsidRPr="008534F2">
        <w:rPr>
          <w:rFonts w:eastAsiaTheme="minorEastAsia" w:hint="eastAsia"/>
        </w:rPr>
        <w:t>284.</w:t>
      </w:r>
    </w:p>
    <w:p w14:paraId="47C1382F"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Yan, X. (2019). Effect of vegetation coverage on soil and water conservation. Soil and Water Conservation Science and Technology in Shanxi, 9</w:t>
      </w:r>
      <w:r w:rsidRPr="008534F2">
        <w:rPr>
          <w:rFonts w:eastAsiaTheme="minorEastAsia" w:hint="eastAsia"/>
        </w:rPr>
        <w:t>–</w:t>
      </w:r>
      <w:r w:rsidRPr="008534F2">
        <w:rPr>
          <w:rFonts w:eastAsiaTheme="minorEastAsia" w:hint="eastAsia"/>
        </w:rPr>
        <w:t>10.</w:t>
      </w:r>
    </w:p>
    <w:p w14:paraId="5A953126"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 xml:space="preserve">Yang, Y., Tang, P., Xiao, H., &amp; Yan, X. (2017). Preliminary analysis on relationships between geo-hazards and river systems of Yunnan province. Journal of </w:t>
      </w:r>
      <w:proofErr w:type="spellStart"/>
      <w:r w:rsidRPr="008534F2">
        <w:rPr>
          <w:rFonts w:eastAsiaTheme="minorEastAsia" w:hint="eastAsia"/>
        </w:rPr>
        <w:t>Catastrophology</w:t>
      </w:r>
      <w:proofErr w:type="spellEnd"/>
      <w:r w:rsidRPr="008534F2">
        <w:rPr>
          <w:rFonts w:eastAsiaTheme="minorEastAsia" w:hint="eastAsia"/>
        </w:rPr>
        <w:t>, 32, 36</w:t>
      </w:r>
      <w:r w:rsidRPr="008534F2">
        <w:rPr>
          <w:rFonts w:eastAsiaTheme="minorEastAsia" w:hint="eastAsia"/>
        </w:rPr>
        <w:t>–</w:t>
      </w:r>
      <w:r w:rsidRPr="008534F2">
        <w:rPr>
          <w:rFonts w:eastAsiaTheme="minorEastAsia" w:hint="eastAsia"/>
        </w:rPr>
        <w:t>39.</w:t>
      </w:r>
    </w:p>
    <w:p w14:paraId="288B62FC"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Yang, H., Zhong, X., Deng, S., &amp; Nie, S. (2022). Impact of LUCC on landscape pattern in the Yangtze River basin during 2001</w:t>
      </w:r>
      <w:r w:rsidRPr="008534F2">
        <w:rPr>
          <w:rFonts w:eastAsiaTheme="minorEastAsia" w:hint="eastAsia"/>
        </w:rPr>
        <w:t>–</w:t>
      </w:r>
      <w:r w:rsidRPr="008534F2">
        <w:rPr>
          <w:rFonts w:eastAsiaTheme="minorEastAsia" w:hint="eastAsia"/>
        </w:rPr>
        <w:t>2019. Ecological Informatics, 69, 101631.</w:t>
      </w:r>
    </w:p>
    <w:p w14:paraId="066131C5"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Yu, M., Huang, Y., Xu, Q., Guo, P., &amp; Dai, Z. (2016). Application of virtual earth in 3D terrain modeling to visual analysis of large-scale geological disasters in mountainous areas. Environmental Earth Sciences, 75(7).</w:t>
      </w:r>
    </w:p>
    <w:p w14:paraId="59BF0C56"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Zhang, Y., Chen, M., &amp; Feng, J. (2003). Relationship among human activities, eco-environment and natural disasters. China Environmental Management, 30</w:t>
      </w:r>
      <w:r w:rsidRPr="008534F2">
        <w:rPr>
          <w:rFonts w:eastAsiaTheme="minorEastAsia" w:hint="eastAsia"/>
        </w:rPr>
        <w:t>–</w:t>
      </w:r>
      <w:r w:rsidRPr="008534F2">
        <w:rPr>
          <w:rFonts w:eastAsiaTheme="minorEastAsia" w:hint="eastAsia"/>
        </w:rPr>
        <w:t>32.</w:t>
      </w:r>
    </w:p>
    <w:p w14:paraId="11491ACF"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Zhao, M., Hao, L., Xu, X., Chen, C., Xu, Q., &amp; Zhu, O. (2022). Research on the impact of land use/cover change on geological disaster development. Remote Sensing Technology and Application, 37, 399</w:t>
      </w:r>
      <w:r w:rsidRPr="008534F2">
        <w:rPr>
          <w:rFonts w:eastAsiaTheme="minorEastAsia" w:hint="eastAsia"/>
        </w:rPr>
        <w:t>–</w:t>
      </w:r>
      <w:r w:rsidRPr="008534F2">
        <w:rPr>
          <w:rFonts w:eastAsiaTheme="minorEastAsia" w:hint="eastAsia"/>
        </w:rPr>
        <w:t>407.</w:t>
      </w:r>
    </w:p>
    <w:p w14:paraId="3C962954"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Zheng, Z., Xie, C., He, Y., Zhu, M., Huang, W., &amp; Shao, T. (2022). Monitoring potential geological hazards with different InSAR algorithms: the case of western Sichuan. Remote Sensing, 14(9), 2049.</w:t>
      </w:r>
    </w:p>
    <w:p w14:paraId="67BC42D8" w14:textId="77777777" w:rsidR="008534F2" w:rsidRPr="008534F2" w:rsidRDefault="008534F2" w:rsidP="008534F2">
      <w:pPr>
        <w:pStyle w:val="a8"/>
        <w:widowControl/>
        <w:numPr>
          <w:ilvl w:val="3"/>
          <w:numId w:val="5"/>
        </w:numPr>
        <w:spacing w:beforeAutospacing="0" w:after="240" w:afterAutospacing="0" w:line="280" w:lineRule="exact"/>
        <w:jc w:val="both"/>
        <w:rPr>
          <w:rFonts w:eastAsiaTheme="minorEastAsia"/>
        </w:rPr>
      </w:pPr>
      <w:r w:rsidRPr="008534F2">
        <w:rPr>
          <w:rFonts w:eastAsiaTheme="minorEastAsia" w:hint="eastAsia"/>
        </w:rPr>
        <w:t>Zhou, P., Tang, C., Wang, S., et al. (1998). Human activities and induced geological disasters. Impact Science Society, 14</w:t>
      </w:r>
      <w:r w:rsidRPr="008534F2">
        <w:rPr>
          <w:rFonts w:eastAsiaTheme="minorEastAsia" w:hint="eastAsia"/>
        </w:rPr>
        <w:t>–</w:t>
      </w:r>
      <w:r w:rsidRPr="008534F2">
        <w:rPr>
          <w:rFonts w:eastAsiaTheme="minorEastAsia" w:hint="eastAsia"/>
        </w:rPr>
        <w:t>19.</w:t>
      </w:r>
    </w:p>
    <w:p w14:paraId="65F8F189" w14:textId="77777777" w:rsidR="00B043FB" w:rsidRDefault="00B043FB">
      <w:pPr>
        <w:pStyle w:val="a8"/>
        <w:widowControl/>
        <w:spacing w:beforeAutospacing="0" w:after="240" w:afterAutospacing="0" w:line="280" w:lineRule="exact"/>
        <w:ind w:left="480" w:hangingChars="200" w:hanging="480"/>
        <w:jc w:val="both"/>
        <w:rPr>
          <w:rFonts w:ascii="Times New Roman Regular" w:eastAsiaTheme="minorEastAsia" w:hAnsi="Times New Roman Regular" w:cs="Times New Roman Regular"/>
        </w:rPr>
      </w:pPr>
    </w:p>
    <w:sectPr w:rsidR="00B043FB">
      <w:footerReference w:type="default" r:id="rId8"/>
      <w:headerReference w:type="first" r:id="rId9"/>
      <w:footerReference w:type="first" r:id="rId10"/>
      <w:pgSz w:w="11906" w:h="16838"/>
      <w:pgMar w:top="1043" w:right="1236" w:bottom="1043" w:left="1236" w:header="850" w:footer="567" w:gutter="0"/>
      <w:pgNumType w:start="1"/>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F1097" w14:textId="77777777" w:rsidR="008E166E" w:rsidRDefault="008E166E">
      <w:r>
        <w:separator/>
      </w:r>
    </w:p>
  </w:endnote>
  <w:endnote w:type="continuationSeparator" w:id="0">
    <w:p w14:paraId="14CD50C3" w14:textId="77777777" w:rsidR="008E166E" w:rsidRDefault="008E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
    <w:altName w:val="Calibri"/>
    <w:panose1 w:val="020B0604020202020204"/>
    <w:charset w:val="00"/>
    <w:family w:val="auto"/>
    <w:pitch w:val="default"/>
  </w:font>
  <w:font w:name="仿宋">
    <w:altName w:val="FangSong"/>
    <w:panose1 w:val="02010609060101010101"/>
    <w:charset w:val="86"/>
    <w:family w:val="modern"/>
    <w:pitch w:val="fixed"/>
    <w:sig w:usb0="800002BF" w:usb1="38CF7CFA" w:usb2="00000016" w:usb3="00000000" w:csb0="00040001" w:csb1="00000000"/>
  </w:font>
  <w:font w:name=".sf ns">
    <w:altName w:val="Calibri"/>
    <w:panose1 w:val="020B0604020202020204"/>
    <w:charset w:val="00"/>
    <w:family w:val="auto"/>
    <w:pitch w:val="default"/>
    <w:sig w:usb0="E0002AEF" w:usb1="C0007841" w:usb2="00000009" w:usb3="00000000" w:csb0="400001FF" w:csb1="FFFF0000"/>
  </w:font>
  <w:font w:name="PingFang SC">
    <w:altName w:val="微软雅黑"/>
    <w:panose1 w:val="020B0604020202020204"/>
    <w:charset w:val="86"/>
    <w:family w:val="swiss"/>
    <w:pitch w:val="variable"/>
    <w:sig w:usb0="A00002FF" w:usb1="7ACFFDFB" w:usb2="00000017" w:usb3="00000000" w:csb0="00040001" w:csb1="00000000"/>
  </w:font>
  <w:font w:name="Arial Bold">
    <w:altName w:val="Arial"/>
    <w:panose1 w:val="020B0604020202020204"/>
    <w:charset w:val="00"/>
    <w:family w:val="auto"/>
    <w:pitch w:val="default"/>
    <w:sig w:usb0="E0000AFF" w:usb1="00007843" w:usb2="00000001" w:usb3="00000000" w:csb0="400001BF" w:csb1="DFF70000"/>
  </w:font>
  <w:font w:name="Times New Roman Italic">
    <w:altName w:val="Times New Roman"/>
    <w:panose1 w:val="020B0604020202020204"/>
    <w:charset w:val="00"/>
    <w:family w:val="auto"/>
    <w:pitch w:val="default"/>
    <w:sig w:usb0="E0002AEF" w:usb1="C0007841" w:usb2="00000009" w:usb3="00000000" w:csb0="400001FF" w:csb1="FFFF0000"/>
  </w:font>
  <w:font w:name="Times New Roman Bold">
    <w:altName w:val="Times New Roman"/>
    <w:panose1 w:val="020B0604020202020204"/>
    <w:charset w:val="00"/>
    <w:family w:val="auto"/>
    <w:pitch w:val="default"/>
    <w:sig w:usb0="E0002AEF" w:usb1="C0007841" w:usb2="00000009" w:usb3="00000000" w:csb0="400001FF" w:csb1="FFFF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Times New Roman Regular">
    <w:altName w:val="Times New Roman"/>
    <w:panose1 w:val="020B0604020202020204"/>
    <w:charset w:val="00"/>
    <w:family w:val="auto"/>
    <w:pitch w:val="default"/>
    <w:sig w:usb0="00000000" w:usb1="00000000" w:usb2="00000009" w:usb3="00000000" w:csb0="400001FF" w:csb1="FFFF0000"/>
  </w:font>
  <w:font w:name="Bahnschrift">
    <w:panose1 w:val="020B0502040204020203"/>
    <w:charset w:val="00"/>
    <w:family w:val="swiss"/>
    <w:pitch w:val="variable"/>
    <w:sig w:usb0="A00002C7" w:usb1="00000002" w:usb2="00000000" w:usb3="00000000" w:csb0="0000019F" w:csb1="00000000"/>
  </w:font>
  <w:font w:name="Arial Regular">
    <w:altName w:val="Arial"/>
    <w:panose1 w:val="020B0604020202020204"/>
    <w:charset w:val="00"/>
    <w:family w:val="auto"/>
    <w:pitch w:val="default"/>
    <w:sig w:usb0="E0000AFF" w:usb1="00007843" w:usb2="00000001" w:usb3="00000000" w:csb0="400001BF" w:csb1="DFF7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0F056" w14:textId="3AA02117" w:rsidR="00B043FB" w:rsidRDefault="00B043FB">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B122" w14:textId="2A7C0719" w:rsidR="00B043FB" w:rsidRDefault="00000000">
    <w:pPr>
      <w:pStyle w:val="a6"/>
      <w:rPr>
        <w:rFonts w:eastAsia="微软雅黑" w:cs="Times New Roman"/>
        <w:b/>
        <w:bCs/>
        <w:sz w:val="16"/>
        <w:szCs w:val="16"/>
      </w:rPr>
    </w:pPr>
    <w:r>
      <w:rPr>
        <w:rFonts w:cs="Times New Roman"/>
        <w:b/>
        <w:bCs/>
        <w:sz w:val="16"/>
        <w:szCs w:val="16"/>
      </w:rPr>
      <w:t>C</w:t>
    </w:r>
    <w:r>
      <w:rPr>
        <w:rFonts w:ascii="Times New Roman Bold" w:hAnsi="Times New Roman Bold" w:cs="Times New Roman Bold"/>
        <w:b/>
        <w:bCs/>
        <w:sz w:val="16"/>
        <w:szCs w:val="16"/>
      </w:rPr>
      <w:t>itati</w:t>
    </w:r>
    <w:r>
      <w:rPr>
        <w:rFonts w:cs="Times New Roman"/>
        <w:b/>
        <w:bCs/>
        <w:sz w:val="16"/>
        <w:szCs w:val="16"/>
      </w:rPr>
      <w:t>on</w:t>
    </w:r>
    <w:r>
      <w:rPr>
        <w:rFonts w:eastAsia="微软雅黑" w:cs="Times New Roman"/>
        <w:b/>
        <w:bCs/>
        <w:sz w:val="16"/>
        <w:szCs w:val="16"/>
      </w:rPr>
      <w:t>：</w:t>
    </w:r>
    <w:r w:rsidR="005265EA" w:rsidRPr="005265EA">
      <w:rPr>
        <w:rFonts w:eastAsia="微软雅黑" w:cs="Times New Roman"/>
        <w:b/>
        <w:bCs/>
        <w:sz w:val="16"/>
        <w:szCs w:val="16"/>
      </w:rPr>
      <w:t xml:space="preserve">Liu, Y., &amp; Hafiz, D. A. (2026). Evaluating the impacts of land use and climate change on geological disasters: A study of the Yunnan Province. </w:t>
    </w:r>
    <w:r w:rsidR="00A9386B">
      <w:rPr>
        <w:rFonts w:eastAsia="微软雅黑" w:cs="Times New Roman"/>
        <w:b/>
        <w:bCs/>
        <w:sz w:val="16"/>
        <w:szCs w:val="16"/>
      </w:rPr>
      <w:t>T</w:t>
    </w:r>
    <w:r w:rsidR="00A9386B">
      <w:rPr>
        <w:rFonts w:eastAsia="微软雅黑" w:cs="Times New Roman" w:hint="eastAsia"/>
        <w:b/>
        <w:bCs/>
        <w:sz w:val="16"/>
        <w:szCs w:val="16"/>
      </w:rPr>
      <w:t>he</w:t>
    </w:r>
    <w:r w:rsidR="00A9386B">
      <w:rPr>
        <w:rFonts w:eastAsia="微软雅黑" w:cs="Times New Roman"/>
        <w:b/>
        <w:bCs/>
        <w:sz w:val="16"/>
        <w:szCs w:val="16"/>
      </w:rPr>
      <w:t xml:space="preserve"> Journal of Advanced Natural Sciences</w:t>
    </w:r>
    <w:r w:rsidR="005265EA" w:rsidRPr="005265EA">
      <w:rPr>
        <w:rFonts w:eastAsia="微软雅黑" w:cs="Times New Roman"/>
        <w:b/>
        <w:bCs/>
        <w:sz w:val="16"/>
        <w:szCs w:val="16"/>
      </w:rPr>
      <w:t>, 1(1).</w:t>
    </w:r>
  </w:p>
  <w:p w14:paraId="050C3EBF" w14:textId="77777777" w:rsidR="00B043FB" w:rsidRDefault="00B043FB">
    <w:pPr>
      <w:pStyle w:val="a6"/>
      <w:rPr>
        <w:rFonts w:eastAsia="微软雅黑" w:cs="Times New Roman"/>
        <w:b/>
        <w:bCs/>
        <w:sz w:val="16"/>
        <w:szCs w:val="16"/>
      </w:rPr>
    </w:pPr>
  </w:p>
  <w:p w14:paraId="5C01DC00" w14:textId="3DD102CB" w:rsidR="00B043FB" w:rsidRPr="00ED317F" w:rsidRDefault="00000000" w:rsidP="00ED317F">
    <w:pPr>
      <w:pStyle w:val="a6"/>
      <w:rPr>
        <w:rFonts w:eastAsia="微软雅黑" w:cs="Times New Roman"/>
        <w:b/>
        <w:bCs/>
        <w:sz w:val="16"/>
        <w:szCs w:val="16"/>
      </w:rPr>
    </w:pPr>
    <w:r>
      <w:rPr>
        <w:rFonts w:eastAsia="微软雅黑" w:cs="Times New Roman"/>
        <w:b/>
        <w:bCs/>
        <w:sz w:val="16"/>
        <w:szCs w:val="16"/>
      </w:rPr>
      <w:t xml:space="preserve">The Authors. Published by J&amp;L Academic Group PLT. This is an open access article under the CC BY 4.0 license.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1A0D7" w14:textId="77777777" w:rsidR="008E166E" w:rsidRDefault="008E166E">
      <w:r>
        <w:separator/>
      </w:r>
    </w:p>
  </w:footnote>
  <w:footnote w:type="continuationSeparator" w:id="0">
    <w:p w14:paraId="78FE6E6D" w14:textId="77777777" w:rsidR="008E166E" w:rsidRDefault="008E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591BD" w14:textId="212A3C6F" w:rsidR="00B043FB" w:rsidRDefault="007B5A05">
    <w:r>
      <w:rPr>
        <w:rFonts w:ascii="Arial Bold" w:eastAsia="Bahnschrift" w:hAnsi="Arial Bold" w:cs="Arial Bold"/>
        <w:b/>
        <w:bCs/>
        <w:noProof/>
        <w:color w:val="000000"/>
        <w:sz w:val="28"/>
        <w:szCs w:val="28"/>
      </w:rPr>
      <w:drawing>
        <wp:anchor distT="0" distB="0" distL="114300" distR="114300" simplePos="0" relativeHeight="251664384" behindDoc="1" locked="0" layoutInCell="1" allowOverlap="1" wp14:anchorId="633EBC71" wp14:editId="00B41B2D">
          <wp:simplePos x="0" y="0"/>
          <wp:positionH relativeFrom="column">
            <wp:posOffset>5266317</wp:posOffset>
          </wp:positionH>
          <wp:positionV relativeFrom="paragraph">
            <wp:posOffset>108398</wp:posOffset>
          </wp:positionV>
          <wp:extent cx="699135" cy="940435"/>
          <wp:effectExtent l="0" t="0" r="0" b="0"/>
          <wp:wrapTight wrapText="bothSides">
            <wp:wrapPolygon edited="0">
              <wp:start x="0" y="0"/>
              <wp:lineTo x="0" y="21294"/>
              <wp:lineTo x="21188" y="21294"/>
              <wp:lineTo x="21188" y="0"/>
              <wp:lineTo x="0" y="0"/>
            </wp:wrapPolygon>
          </wp:wrapTight>
          <wp:docPr id="6961262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26295" name="图片 696126295"/>
                  <pic:cNvPicPr/>
                </pic:nvPicPr>
                <pic:blipFill>
                  <a:blip r:embed="rId1">
                    <a:extLst>
                      <a:ext uri="{28A0092B-C50C-407E-A947-70E740481C1C}">
                        <a14:useLocalDpi xmlns:a14="http://schemas.microsoft.com/office/drawing/2010/main" val="0"/>
                      </a:ext>
                    </a:extLst>
                  </a:blip>
                  <a:stretch>
                    <a:fillRect/>
                  </a:stretch>
                </pic:blipFill>
                <pic:spPr>
                  <a:xfrm>
                    <a:off x="0" y="0"/>
                    <a:ext cx="699135" cy="9404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A02DFEE" wp14:editId="50390C6B">
          <wp:simplePos x="0" y="0"/>
          <wp:positionH relativeFrom="column">
            <wp:posOffset>-91440</wp:posOffset>
          </wp:positionH>
          <wp:positionV relativeFrom="paragraph">
            <wp:posOffset>104140</wp:posOffset>
          </wp:positionV>
          <wp:extent cx="873125" cy="1005205"/>
          <wp:effectExtent l="0" t="0" r="3175" b="0"/>
          <wp:wrapTight wrapText="bothSides">
            <wp:wrapPolygon edited="0">
              <wp:start x="0" y="0"/>
              <wp:lineTo x="0" y="21286"/>
              <wp:lineTo x="21364" y="21286"/>
              <wp:lineTo x="21364" y="0"/>
              <wp:lineTo x="0" y="0"/>
            </wp:wrapPolygon>
          </wp:wrapTight>
          <wp:docPr id="8516523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52391" name="图片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3125" cy="100520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3A936DE3" wp14:editId="44EB7774">
              <wp:simplePos x="0" y="0"/>
              <wp:positionH relativeFrom="column">
                <wp:posOffset>-62865</wp:posOffset>
              </wp:positionH>
              <wp:positionV relativeFrom="page">
                <wp:posOffset>575310</wp:posOffset>
              </wp:positionV>
              <wp:extent cx="6115685" cy="0"/>
              <wp:effectExtent l="12700" t="12700" r="18415" b="12700"/>
              <wp:wrapNone/>
              <wp:docPr id="1" name="直接连接符 1"/>
              <wp:cNvGraphicFramePr/>
              <a:graphic xmlns:a="http://schemas.openxmlformats.org/drawingml/2006/main">
                <a:graphicData uri="http://schemas.microsoft.com/office/word/2010/wordprocessingShape">
                  <wps:wsp>
                    <wps:cNvCnPr/>
                    <wps:spPr>
                      <a:xfrm>
                        <a:off x="0" y="0"/>
                        <a:ext cx="6115685" cy="0"/>
                      </a:xfrm>
                      <a:prstGeom prst="line">
                        <a:avLst/>
                      </a:prstGeom>
                      <a:ln w="22225"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95pt;margin-top:45.3pt;height:0pt;width:481.55pt;mso-position-vertical-relative:page;z-index:251659264;mso-width-relative:page;mso-height-relative:page;" filled="f" stroked="t" coordsize="21600,21600" o:gfxdata="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1ICjdUAAAAIAQAA&#10;DwAAAAAAAAABACAAAAAiAAAAZHJzL2Rvd25yZXYueG1sUEsBAhQAFAAAAAgAh07iQGJlw4zjAQAA&#10;yAMAAA4AAAAAAAAAAQAgAAAAJAEAAGRycy9lMm9Eb2MueG1sUEsFBgAAAAAGAAYAWQEAAHkFAAAA&#10;AA==&#10;">
              <v:fill on="f" focussize="0,0"/>
              <v:stroke weight="1.75pt" color="#000000" joinstyle="round" endcap="round"/>
              <v:imagedata o:title=""/>
              <o:lock v:ext="edit" aspectratio="f"/>
            </v:line>
          </w:pict>
        </mc:Fallback>
      </mc:AlternateContent>
    </w:r>
    <w:r>
      <w:rPr>
        <w:rFonts w:ascii="Arial Bold" w:hAnsi="Arial Bold" w:cs="Arial Bold"/>
        <w:b/>
        <w:bCs/>
        <w:noProof/>
        <w:sz w:val="28"/>
        <w:szCs w:val="28"/>
      </w:rPr>
      <mc:AlternateContent>
        <mc:Choice Requires="wps">
          <w:drawing>
            <wp:anchor distT="0" distB="0" distL="114300" distR="114300" simplePos="0" relativeHeight="251662336" behindDoc="1" locked="0" layoutInCell="1" allowOverlap="1" wp14:anchorId="18527CC0" wp14:editId="2F88A2E6">
              <wp:simplePos x="0" y="0"/>
              <wp:positionH relativeFrom="column">
                <wp:posOffset>852170</wp:posOffset>
              </wp:positionH>
              <wp:positionV relativeFrom="paragraph">
                <wp:posOffset>95250</wp:posOffset>
              </wp:positionV>
              <wp:extent cx="4354195" cy="961390"/>
              <wp:effectExtent l="0" t="0" r="1905" b="4445"/>
              <wp:wrapNone/>
              <wp:docPr id="1466485545" name="矩形 7"/>
              <wp:cNvGraphicFramePr/>
              <a:graphic xmlns:a="http://schemas.openxmlformats.org/drawingml/2006/main">
                <a:graphicData uri="http://schemas.microsoft.com/office/word/2010/wordprocessingShape">
                  <wps:wsp>
                    <wps:cNvSpPr/>
                    <wps:spPr>
                      <a:xfrm>
                        <a:off x="0" y="0"/>
                        <a:ext cx="4354282" cy="96120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7" o:spid="_x0000_s1026" o:spt="1" style="position:absolute;left:0pt;margin-left:67.1pt;margin-top:7.5pt;height:75.7pt;width:342.85pt;z-index:-251654144;v-text-anchor:middle;mso-width-relative:page;mso-height-relative:page;" fillcolor="#D0CECE [2894]" filled="t" stroked="f" coordsize="21600,21600" o:gfxdata="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CESidoAAAAKAQAADwAA&#10;AAAAAAABACAAAAAiAAAAZHJzL2Rvd25yZXYueG1sUEsBAhQAFAAAAAgAh07iQJYedLqGAgAA9gQA&#10;AA4AAAAAAAAAAQAgAAAAKQEAAGRycy9lMm9Eb2MueG1sUEsFBgAAAAAGAAYAWQEAACEGAAAAAA==&#10;">
              <v:fill on="t" focussize="0,0"/>
              <v:stroke on="f" weight="1pt" miterlimit="8" joinstyle="miter"/>
              <v:imagedata o:title=""/>
              <o:lock v:ext="edit" aspectratio="f"/>
            </v:rect>
          </w:pict>
        </mc:Fallback>
      </mc:AlternateContent>
    </w:r>
  </w:p>
  <w:p w14:paraId="2D74E6B0" w14:textId="25E0D64C" w:rsidR="00B043FB" w:rsidRDefault="00B043FB">
    <w:pPr>
      <w:spacing w:line="300" w:lineRule="exact"/>
      <w:jc w:val="center"/>
      <w:rPr>
        <w:rFonts w:ascii="Arial Bold" w:hAnsi="Arial Bold" w:cs="Arial Bold"/>
        <w:b/>
        <w:bCs/>
        <w:sz w:val="28"/>
        <w:szCs w:val="28"/>
      </w:rPr>
    </w:pPr>
  </w:p>
  <w:p w14:paraId="78C2BE68" w14:textId="5507A3F8" w:rsidR="00B043FB" w:rsidRDefault="00000000">
    <w:pPr>
      <w:spacing w:line="300" w:lineRule="exact"/>
      <w:jc w:val="center"/>
      <w:rPr>
        <w:rFonts w:ascii="Arial Bold" w:hAnsi="Arial Bold" w:cs="Arial Bold"/>
        <w:b/>
        <w:bCs/>
        <w:sz w:val="28"/>
        <w:szCs w:val="28"/>
      </w:rPr>
    </w:pPr>
    <w:r>
      <w:rPr>
        <w:rFonts w:ascii="Arial Bold" w:hAnsi="Arial Bold" w:cs="Arial Bold"/>
        <w:b/>
        <w:bCs/>
        <w:sz w:val="28"/>
        <w:szCs w:val="28"/>
      </w:rPr>
      <w:t xml:space="preserve">THE JOURNAL OF </w:t>
    </w:r>
  </w:p>
  <w:p w14:paraId="620F9F21" w14:textId="60D94400" w:rsidR="00B043FB" w:rsidRDefault="00A9386B">
    <w:pPr>
      <w:spacing w:line="300" w:lineRule="exact"/>
      <w:jc w:val="center"/>
      <w:rPr>
        <w:rFonts w:ascii="Arial Bold" w:eastAsia="Bahnschrift" w:hAnsi="Arial Bold" w:cs="Arial Bold"/>
        <w:b/>
        <w:bCs/>
        <w:color w:val="000000"/>
        <w:sz w:val="28"/>
        <w:szCs w:val="28"/>
      </w:rPr>
    </w:pPr>
    <w:r>
      <w:rPr>
        <w:rFonts w:ascii="Arial Bold" w:hAnsi="Arial Bold" w:cs="Arial Bold"/>
        <w:b/>
        <w:bCs/>
        <w:sz w:val="28"/>
        <w:szCs w:val="28"/>
      </w:rPr>
      <w:t>ADVANCED NATURAL SCIENCES</w:t>
    </w:r>
  </w:p>
  <w:p w14:paraId="08888AC3" w14:textId="3AC5C5E3" w:rsidR="004921AE" w:rsidRDefault="004921AE" w:rsidP="004921AE">
    <w:pPr>
      <w:spacing w:line="300" w:lineRule="exact"/>
      <w:jc w:val="center"/>
      <w:rPr>
        <w:rFonts w:ascii="Arial Regular" w:eastAsia="Bahnschrift" w:hAnsi="Arial Regular" w:cs="Arial Regular"/>
        <w:smallCaps/>
        <w:color w:val="000000"/>
        <w:sz w:val="22"/>
        <w:szCs w:val="22"/>
      </w:rPr>
    </w:pPr>
    <w:r w:rsidRPr="00B3193F">
      <w:rPr>
        <w:rFonts w:ascii="Arial Regular" w:hAnsi="Arial Regular" w:cs="Arial Regular" w:hint="eastAsia"/>
        <w:sz w:val="18"/>
        <w:szCs w:val="18"/>
      </w:rPr>
      <w:t>202</w:t>
    </w:r>
    <w:r>
      <w:rPr>
        <w:rFonts w:ascii="Arial Regular" w:hAnsi="Arial Regular" w:cs="Arial Regular"/>
        <w:sz w:val="18"/>
        <w:szCs w:val="18"/>
      </w:rPr>
      <w:t>6</w:t>
    </w:r>
    <w:r w:rsidRPr="00B3193F">
      <w:rPr>
        <w:rFonts w:ascii="Arial Regular" w:hAnsi="Arial Regular" w:cs="Arial Regular" w:hint="eastAsia"/>
        <w:sz w:val="18"/>
        <w:szCs w:val="18"/>
      </w:rPr>
      <w:t xml:space="preserve"> </w:t>
    </w:r>
    <w:r w:rsidRPr="00B3193F">
      <w:rPr>
        <w:rFonts w:ascii="Arial Regular" w:hAnsi="Arial Regular" w:cs="Arial Regular"/>
        <w:sz w:val="18"/>
        <w:szCs w:val="18"/>
      </w:rPr>
      <w:t>Vol</w:t>
    </w:r>
    <w:r>
      <w:rPr>
        <w:rFonts w:ascii="Arial Regular" w:hAnsi="Arial Regular" w:cs="Arial Regular"/>
        <w:sz w:val="18"/>
        <w:szCs w:val="18"/>
      </w:rPr>
      <w:t>.</w:t>
    </w:r>
    <w:r w:rsidRPr="00B3193F">
      <w:rPr>
        <w:rFonts w:ascii="Arial Regular" w:hAnsi="Arial Regular" w:cs="Arial Regular" w:hint="eastAsia"/>
        <w:sz w:val="18"/>
        <w:szCs w:val="18"/>
      </w:rPr>
      <w:t xml:space="preserve"> </w:t>
    </w:r>
    <w:r w:rsidR="00005364">
      <w:rPr>
        <w:rFonts w:ascii="Arial Regular" w:hAnsi="Arial Regular" w:cs="Arial Regular" w:hint="eastAsia"/>
        <w:sz w:val="18"/>
        <w:szCs w:val="18"/>
      </w:rPr>
      <w:t>1</w:t>
    </w:r>
    <w:r w:rsidRPr="00B3193F">
      <w:rPr>
        <w:rFonts w:ascii="Arial Regular" w:hAnsi="Arial Regular" w:cs="Arial Regular"/>
        <w:sz w:val="18"/>
        <w:szCs w:val="18"/>
      </w:rPr>
      <w:t>,</w:t>
    </w:r>
    <w:r>
      <w:rPr>
        <w:rFonts w:ascii="Arial Regular" w:hAnsi="Arial Regular" w:cs="Arial Regular"/>
        <w:sz w:val="18"/>
        <w:szCs w:val="18"/>
      </w:rPr>
      <w:t xml:space="preserve"> No. </w:t>
    </w:r>
    <w:r w:rsidR="00005364">
      <w:rPr>
        <w:rFonts w:ascii="Arial Regular" w:hAnsi="Arial Regular" w:cs="Arial Regular" w:hint="eastAsia"/>
        <w:sz w:val="18"/>
        <w:szCs w:val="18"/>
      </w:rPr>
      <w:t>1</w:t>
    </w:r>
  </w:p>
  <w:p w14:paraId="3ED35103" w14:textId="7DC3B86B" w:rsidR="00B043FB" w:rsidRDefault="00000000">
    <w:pPr>
      <w:pStyle w:val="a7"/>
    </w:pPr>
    <w:r>
      <w:rPr>
        <w:noProof/>
        <w:sz w:val="21"/>
      </w:rPr>
      <mc:AlternateContent>
        <mc:Choice Requires="wps">
          <w:drawing>
            <wp:anchor distT="0" distB="0" distL="114300" distR="114300" simplePos="0" relativeHeight="251660288" behindDoc="0" locked="0" layoutInCell="1" allowOverlap="1" wp14:anchorId="0CC73608" wp14:editId="51708F2C">
              <wp:simplePos x="0" y="0"/>
              <wp:positionH relativeFrom="column">
                <wp:posOffset>-62865</wp:posOffset>
              </wp:positionH>
              <wp:positionV relativeFrom="page">
                <wp:posOffset>1669415</wp:posOffset>
              </wp:positionV>
              <wp:extent cx="6115685" cy="0"/>
              <wp:effectExtent l="6350" t="6350" r="6350" b="6350"/>
              <wp:wrapNone/>
              <wp:docPr id="3" name="直接连接符 3"/>
              <wp:cNvGraphicFramePr/>
              <a:graphic xmlns:a="http://schemas.openxmlformats.org/drawingml/2006/main">
                <a:graphicData uri="http://schemas.microsoft.com/office/word/2010/wordprocessingShape">
                  <wps:wsp>
                    <wps:cNvCnPr/>
                    <wps:spPr>
                      <a:xfrm>
                        <a:off x="0" y="0"/>
                        <a:ext cx="6115685" cy="0"/>
                      </a:xfrm>
                      <a:prstGeom prst="line">
                        <a:avLst/>
                      </a:prstGeom>
                      <a:ln w="6350"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95pt;margin-top:131.45pt;height:0pt;width:481.55pt;mso-position-vertical-relative:page;z-index:251660288;mso-width-relative:page;mso-height-relative:page;" filled="f" stroked="t" coordsize="21600,21600" o:gfxdata="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vSRkx2QAA&#10;AAoBAAAPAAAAAAAAAAEAIAAAACIAAABkcnMvZG93bnJldi54bWxQSwECFAAUAAAACACHTuJAfpox&#10;a+QBAADHAwAADgAAAAAAAAABACAAAAAoAQAAZHJzL2Uyb0RvYy54bWxQSwUGAAAAAAYABgBZAQAA&#10;fgUAAAAA&#10;">
              <v:fill on="f" focussize="0,0"/>
              <v:stroke weight="0.5pt" color="#000000" joinstyle="round" endcap="round"/>
              <v:imagedata o:title=""/>
              <o:lock v:ext="edit" aspectratio="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5231D"/>
    <w:multiLevelType w:val="multilevel"/>
    <w:tmpl w:val="2935231D"/>
    <w:lvl w:ilvl="0">
      <w:start w:val="1"/>
      <w:numFmt w:val="decimal"/>
      <w:lvlText w:val="%1."/>
      <w:lvlJc w:val="left"/>
      <w:pPr>
        <w:ind w:left="780" w:hanging="360"/>
      </w:pPr>
      <w:rPr>
        <w:rFonts w:hint="default"/>
        <w:b/>
        <w:bCs/>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2D30D26"/>
    <w:multiLevelType w:val="multilevel"/>
    <w:tmpl w:val="2935231D"/>
    <w:styleLink w:val="1"/>
    <w:lvl w:ilvl="0">
      <w:start w:val="1"/>
      <w:numFmt w:val="decimal"/>
      <w:lvlText w:val="%1."/>
      <w:lvlJc w:val="left"/>
      <w:pPr>
        <w:ind w:left="780" w:hanging="360"/>
      </w:pPr>
      <w:rPr>
        <w:rFonts w:hint="default"/>
        <w:b/>
        <w:bCs/>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51C2C95"/>
    <w:multiLevelType w:val="multilevel"/>
    <w:tmpl w:val="C6D0B4F6"/>
    <w:lvl w:ilvl="0">
      <w:start w:val="1"/>
      <w:numFmt w:val="decimal"/>
      <w:lvlText w:val="%1."/>
      <w:lvlJc w:val="left"/>
      <w:pPr>
        <w:ind w:left="780" w:hanging="360"/>
      </w:pPr>
      <w:rPr>
        <w:rFonts w:hint="default"/>
        <w:b/>
        <w:bCs/>
        <w:sz w:val="28"/>
        <w:szCs w:val="28"/>
      </w:rPr>
    </w:lvl>
    <w:lvl w:ilvl="1">
      <w:start w:val="1"/>
      <w:numFmt w:val="lowerLetter"/>
      <w:lvlText w:val="%2."/>
      <w:lvlJc w:val="left"/>
      <w:pPr>
        <w:ind w:left="1080" w:hanging="360"/>
      </w:pPr>
      <w:rPr>
        <w:rFonts w:hint="eastAsia"/>
      </w:rPr>
    </w:lvl>
    <w:lvl w:ilvl="2">
      <w:start w:val="1"/>
      <w:numFmt w:val="lowerRoman"/>
      <w:lvlText w:val="%3."/>
      <w:lvlJc w:val="right"/>
      <w:pPr>
        <w:ind w:left="1800" w:hanging="180"/>
      </w:pPr>
      <w:rPr>
        <w:rFonts w:hint="eastAsia"/>
      </w:rPr>
    </w:lvl>
    <w:lvl w:ilvl="3">
      <w:start w:val="1"/>
      <w:numFmt w:val="decimal"/>
      <w:lvlText w:val="[%4]."/>
      <w:lvlJc w:val="left"/>
      <w:pPr>
        <w:ind w:left="360" w:hanging="360"/>
      </w:pPr>
      <w:rPr>
        <w:rFonts w:hint="eastAsia"/>
      </w:rPr>
    </w:lvl>
    <w:lvl w:ilvl="4">
      <w:start w:val="1"/>
      <w:numFmt w:val="lowerLetter"/>
      <w:lvlText w:val="%5."/>
      <w:lvlJc w:val="left"/>
      <w:pPr>
        <w:ind w:left="3240" w:hanging="360"/>
      </w:pPr>
      <w:rPr>
        <w:rFonts w:hint="eastAsia"/>
      </w:rPr>
    </w:lvl>
    <w:lvl w:ilvl="5">
      <w:start w:val="1"/>
      <w:numFmt w:val="lowerRoman"/>
      <w:lvlText w:val="%6."/>
      <w:lvlJc w:val="right"/>
      <w:pPr>
        <w:ind w:left="3960" w:hanging="180"/>
      </w:pPr>
      <w:rPr>
        <w:rFonts w:hint="eastAsia"/>
      </w:rPr>
    </w:lvl>
    <w:lvl w:ilvl="6">
      <w:start w:val="1"/>
      <w:numFmt w:val="decimal"/>
      <w:lvlText w:val="%7."/>
      <w:lvlJc w:val="left"/>
      <w:pPr>
        <w:ind w:left="4680" w:hanging="360"/>
      </w:pPr>
      <w:rPr>
        <w:rFonts w:hint="eastAsia"/>
      </w:rPr>
    </w:lvl>
    <w:lvl w:ilvl="7">
      <w:start w:val="1"/>
      <w:numFmt w:val="lowerLetter"/>
      <w:lvlText w:val="%8."/>
      <w:lvlJc w:val="left"/>
      <w:pPr>
        <w:ind w:left="5400" w:hanging="360"/>
      </w:pPr>
      <w:rPr>
        <w:rFonts w:hint="eastAsia"/>
      </w:rPr>
    </w:lvl>
    <w:lvl w:ilvl="8">
      <w:start w:val="1"/>
      <w:numFmt w:val="lowerRoman"/>
      <w:lvlText w:val="%9."/>
      <w:lvlJc w:val="right"/>
      <w:pPr>
        <w:ind w:left="6120" w:hanging="180"/>
      </w:pPr>
      <w:rPr>
        <w:rFonts w:hint="eastAsia"/>
      </w:rPr>
    </w:lvl>
  </w:abstractNum>
  <w:abstractNum w:abstractNumId="3" w15:restartNumberingAfterBreak="0">
    <w:nsid w:val="39036B5C"/>
    <w:multiLevelType w:val="multilevel"/>
    <w:tmpl w:val="2935231D"/>
    <w:styleLink w:val="3"/>
    <w:lvl w:ilvl="0">
      <w:start w:val="1"/>
      <w:numFmt w:val="decimal"/>
      <w:lvlText w:val="%1."/>
      <w:lvlJc w:val="left"/>
      <w:pPr>
        <w:ind w:left="780" w:hanging="360"/>
      </w:pPr>
      <w:rPr>
        <w:rFonts w:hint="default"/>
        <w:b/>
        <w:bCs/>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1705C96"/>
    <w:multiLevelType w:val="multilevel"/>
    <w:tmpl w:val="2935231D"/>
    <w:styleLink w:val="2"/>
    <w:lvl w:ilvl="0">
      <w:start w:val="1"/>
      <w:numFmt w:val="decimal"/>
      <w:lvlText w:val="%1."/>
      <w:lvlJc w:val="left"/>
      <w:pPr>
        <w:ind w:left="780" w:hanging="360"/>
      </w:pPr>
      <w:rPr>
        <w:rFonts w:hint="default"/>
        <w:b/>
        <w:bCs/>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85287603">
    <w:abstractNumId w:val="0"/>
  </w:num>
  <w:num w:numId="2" w16cid:durableId="578755197">
    <w:abstractNumId w:val="1"/>
  </w:num>
  <w:num w:numId="3" w16cid:durableId="533469074">
    <w:abstractNumId w:val="4"/>
  </w:num>
  <w:num w:numId="4" w16cid:durableId="2029481901">
    <w:abstractNumId w:val="3"/>
  </w:num>
  <w:num w:numId="5" w16cid:durableId="1551376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FiMjg5OWVkYzUzMzdlYzg1NjY3NGI4NDk2MGI4N2QifQ=="/>
  </w:docVars>
  <w:rsids>
    <w:rsidRoot w:val="3FDB5E60"/>
    <w:rsid w:val="00005364"/>
    <w:rsid w:val="00034A11"/>
    <w:rsid w:val="0005508A"/>
    <w:rsid w:val="00061010"/>
    <w:rsid w:val="000623AA"/>
    <w:rsid w:val="00063C57"/>
    <w:rsid w:val="00073835"/>
    <w:rsid w:val="00076E3C"/>
    <w:rsid w:val="000857DF"/>
    <w:rsid w:val="000876C6"/>
    <w:rsid w:val="000C111B"/>
    <w:rsid w:val="000D4E26"/>
    <w:rsid w:val="000F39A6"/>
    <w:rsid w:val="00124840"/>
    <w:rsid w:val="001262D8"/>
    <w:rsid w:val="00126E35"/>
    <w:rsid w:val="00136135"/>
    <w:rsid w:val="00161AED"/>
    <w:rsid w:val="00161C88"/>
    <w:rsid w:val="00170398"/>
    <w:rsid w:val="00172713"/>
    <w:rsid w:val="00175599"/>
    <w:rsid w:val="00187DDE"/>
    <w:rsid w:val="001A1D4D"/>
    <w:rsid w:val="001A315F"/>
    <w:rsid w:val="001C2930"/>
    <w:rsid w:val="001D6EB4"/>
    <w:rsid w:val="0023491D"/>
    <w:rsid w:val="00253700"/>
    <w:rsid w:val="00255204"/>
    <w:rsid w:val="00276133"/>
    <w:rsid w:val="0028365A"/>
    <w:rsid w:val="0028505F"/>
    <w:rsid w:val="00345BDA"/>
    <w:rsid w:val="00374E8C"/>
    <w:rsid w:val="003C2F50"/>
    <w:rsid w:val="003D427A"/>
    <w:rsid w:val="003D7710"/>
    <w:rsid w:val="003E3C20"/>
    <w:rsid w:val="003E526C"/>
    <w:rsid w:val="00446859"/>
    <w:rsid w:val="00460276"/>
    <w:rsid w:val="00466C6F"/>
    <w:rsid w:val="004921AE"/>
    <w:rsid w:val="00496C06"/>
    <w:rsid w:val="004B6C19"/>
    <w:rsid w:val="004D2F1F"/>
    <w:rsid w:val="005265EA"/>
    <w:rsid w:val="00572A67"/>
    <w:rsid w:val="0059647E"/>
    <w:rsid w:val="006040C0"/>
    <w:rsid w:val="006625D6"/>
    <w:rsid w:val="006732B3"/>
    <w:rsid w:val="006816C9"/>
    <w:rsid w:val="006C4E9A"/>
    <w:rsid w:val="006C5805"/>
    <w:rsid w:val="007022DC"/>
    <w:rsid w:val="00705F96"/>
    <w:rsid w:val="00745576"/>
    <w:rsid w:val="00792A90"/>
    <w:rsid w:val="007A68E4"/>
    <w:rsid w:val="007B5A05"/>
    <w:rsid w:val="007D46E9"/>
    <w:rsid w:val="00810F7A"/>
    <w:rsid w:val="00815751"/>
    <w:rsid w:val="008534F2"/>
    <w:rsid w:val="0087099C"/>
    <w:rsid w:val="00877F6F"/>
    <w:rsid w:val="00884FB3"/>
    <w:rsid w:val="008E166E"/>
    <w:rsid w:val="008E3DF5"/>
    <w:rsid w:val="008E4294"/>
    <w:rsid w:val="0092313B"/>
    <w:rsid w:val="009476B8"/>
    <w:rsid w:val="0095363C"/>
    <w:rsid w:val="00955CE4"/>
    <w:rsid w:val="0095758C"/>
    <w:rsid w:val="009714B0"/>
    <w:rsid w:val="00983BAA"/>
    <w:rsid w:val="00984AD3"/>
    <w:rsid w:val="00992563"/>
    <w:rsid w:val="009947A9"/>
    <w:rsid w:val="009C41E5"/>
    <w:rsid w:val="009E1623"/>
    <w:rsid w:val="00A02816"/>
    <w:rsid w:val="00A50DD6"/>
    <w:rsid w:val="00A55CE8"/>
    <w:rsid w:val="00A66DAD"/>
    <w:rsid w:val="00A9386B"/>
    <w:rsid w:val="00AC4AC8"/>
    <w:rsid w:val="00B043FB"/>
    <w:rsid w:val="00B47A47"/>
    <w:rsid w:val="00B508B9"/>
    <w:rsid w:val="00B91E1A"/>
    <w:rsid w:val="00BC51A5"/>
    <w:rsid w:val="00BD350E"/>
    <w:rsid w:val="00BE2E80"/>
    <w:rsid w:val="00BE52C9"/>
    <w:rsid w:val="00C03AE1"/>
    <w:rsid w:val="00C547BF"/>
    <w:rsid w:val="00C574C6"/>
    <w:rsid w:val="00C7726F"/>
    <w:rsid w:val="00C77CC9"/>
    <w:rsid w:val="00CB7B0B"/>
    <w:rsid w:val="00CC71A8"/>
    <w:rsid w:val="00CE0225"/>
    <w:rsid w:val="00CE0318"/>
    <w:rsid w:val="00CE3035"/>
    <w:rsid w:val="00CE3826"/>
    <w:rsid w:val="00CE5627"/>
    <w:rsid w:val="00CF639F"/>
    <w:rsid w:val="00D04FF2"/>
    <w:rsid w:val="00D150D9"/>
    <w:rsid w:val="00D5149B"/>
    <w:rsid w:val="00D75454"/>
    <w:rsid w:val="00DD512B"/>
    <w:rsid w:val="00DF5C4E"/>
    <w:rsid w:val="00DF5C6F"/>
    <w:rsid w:val="00E034C1"/>
    <w:rsid w:val="00E26950"/>
    <w:rsid w:val="00E53E98"/>
    <w:rsid w:val="00E55A08"/>
    <w:rsid w:val="00EA57D0"/>
    <w:rsid w:val="00ED317F"/>
    <w:rsid w:val="00F11579"/>
    <w:rsid w:val="00F14B65"/>
    <w:rsid w:val="00F755AE"/>
    <w:rsid w:val="00F83E1A"/>
    <w:rsid w:val="00F90777"/>
    <w:rsid w:val="00FB6E10"/>
    <w:rsid w:val="00FD51B0"/>
    <w:rsid w:val="05C06589"/>
    <w:rsid w:val="09FFF3BD"/>
    <w:rsid w:val="0B200D11"/>
    <w:rsid w:val="13706BA3"/>
    <w:rsid w:val="175C7F3A"/>
    <w:rsid w:val="19B52C63"/>
    <w:rsid w:val="1B5F647B"/>
    <w:rsid w:val="1B6603B7"/>
    <w:rsid w:val="1DF8879C"/>
    <w:rsid w:val="23CC30CD"/>
    <w:rsid w:val="25C730AF"/>
    <w:rsid w:val="27B6DFD1"/>
    <w:rsid w:val="2AD502F3"/>
    <w:rsid w:val="2D4F2943"/>
    <w:rsid w:val="2DB7F98B"/>
    <w:rsid w:val="2E770157"/>
    <w:rsid w:val="3B3F689D"/>
    <w:rsid w:val="3B7D37DB"/>
    <w:rsid w:val="3BCC6D26"/>
    <w:rsid w:val="3BF7A02D"/>
    <w:rsid w:val="3D795562"/>
    <w:rsid w:val="3E31B96F"/>
    <w:rsid w:val="3E3E5826"/>
    <w:rsid w:val="3EEED35B"/>
    <w:rsid w:val="3FDB5E60"/>
    <w:rsid w:val="3FED2057"/>
    <w:rsid w:val="3FFDD595"/>
    <w:rsid w:val="41B71931"/>
    <w:rsid w:val="49C55D2C"/>
    <w:rsid w:val="4DBF8E54"/>
    <w:rsid w:val="4EFE5DE4"/>
    <w:rsid w:val="548A0EEA"/>
    <w:rsid w:val="5D635B9E"/>
    <w:rsid w:val="5FCFBEFF"/>
    <w:rsid w:val="600A4D82"/>
    <w:rsid w:val="604F6C11"/>
    <w:rsid w:val="60DC415E"/>
    <w:rsid w:val="6136238C"/>
    <w:rsid w:val="63FC140D"/>
    <w:rsid w:val="667C4C7A"/>
    <w:rsid w:val="67794AD9"/>
    <w:rsid w:val="67993327"/>
    <w:rsid w:val="690B3AE7"/>
    <w:rsid w:val="6BE071F2"/>
    <w:rsid w:val="6BEB61AA"/>
    <w:rsid w:val="6D5D0B79"/>
    <w:rsid w:val="6DEF25FE"/>
    <w:rsid w:val="6FEEB253"/>
    <w:rsid w:val="6FF5BC86"/>
    <w:rsid w:val="757F57A2"/>
    <w:rsid w:val="78F45BFA"/>
    <w:rsid w:val="79FF82A5"/>
    <w:rsid w:val="7AEBD648"/>
    <w:rsid w:val="7B797925"/>
    <w:rsid w:val="7C7750F6"/>
    <w:rsid w:val="7CBE921F"/>
    <w:rsid w:val="7DBFCE1E"/>
    <w:rsid w:val="7DDDB5A9"/>
    <w:rsid w:val="7DF7B36C"/>
    <w:rsid w:val="7E6DC286"/>
    <w:rsid w:val="7EEFDAFD"/>
    <w:rsid w:val="7FFA63D9"/>
    <w:rsid w:val="7FFE272D"/>
    <w:rsid w:val="A7F6BEDD"/>
    <w:rsid w:val="AEC7F444"/>
    <w:rsid w:val="AF3B2F2E"/>
    <w:rsid w:val="AF67E311"/>
    <w:rsid w:val="AFBB40B3"/>
    <w:rsid w:val="B3DC48A6"/>
    <w:rsid w:val="B7DE0D6A"/>
    <w:rsid w:val="B7FF7299"/>
    <w:rsid w:val="BAAFB8AA"/>
    <w:rsid w:val="BBBF22D4"/>
    <w:rsid w:val="BDFF48F0"/>
    <w:rsid w:val="BF939117"/>
    <w:rsid w:val="BFA65C58"/>
    <w:rsid w:val="BFFB99C2"/>
    <w:rsid w:val="D6FB147E"/>
    <w:rsid w:val="D6FD744D"/>
    <w:rsid w:val="DBDFDAD7"/>
    <w:rsid w:val="DD5DA90A"/>
    <w:rsid w:val="DDDDD7D7"/>
    <w:rsid w:val="DE751F95"/>
    <w:rsid w:val="DFF79CD2"/>
    <w:rsid w:val="DFFEC095"/>
    <w:rsid w:val="DFFF17ED"/>
    <w:rsid w:val="E37F829B"/>
    <w:rsid w:val="E5FFAD1E"/>
    <w:rsid w:val="E7678AD9"/>
    <w:rsid w:val="EF8C4486"/>
    <w:rsid w:val="EF9F88D1"/>
    <w:rsid w:val="EFEC0484"/>
    <w:rsid w:val="EFF39400"/>
    <w:rsid w:val="F1AB3D55"/>
    <w:rsid w:val="F3AF2910"/>
    <w:rsid w:val="F47E8020"/>
    <w:rsid w:val="F5FE9B83"/>
    <w:rsid w:val="F6FFE4C6"/>
    <w:rsid w:val="F7FE1357"/>
    <w:rsid w:val="F9B713AD"/>
    <w:rsid w:val="F9DF0CBF"/>
    <w:rsid w:val="FA77601E"/>
    <w:rsid w:val="FBB9700A"/>
    <w:rsid w:val="FCD9BE07"/>
    <w:rsid w:val="FE776AC4"/>
    <w:rsid w:val="FE9F5FA6"/>
    <w:rsid w:val="FEE774AC"/>
    <w:rsid w:val="FF6F48A6"/>
    <w:rsid w:val="FF73FEB3"/>
    <w:rsid w:val="FF8BF6A9"/>
    <w:rsid w:val="FF8FFB5C"/>
    <w:rsid w:val="FFBF2744"/>
    <w:rsid w:val="FFF79F72"/>
    <w:rsid w:val="FFFAD6FB"/>
    <w:rsid w:val="FFFDF3B0"/>
    <w:rsid w:val="FFFF2604"/>
    <w:rsid w:val="FFFF6B71"/>
    <w:rsid w:val="FFFFE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CF5D8"/>
  <w15:docId w15:val="{2B359FEA-03D7-6841-961A-090AAB31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uiPriority="1" w:qFormat="1"/>
    <w:lsdException w:name="Default Paragraph Font" w:semiHidden="1" w:uiPriority="1" w:unhideWhenUsed="1" w:qFormat="1"/>
    <w:lsdException w:name="Body Text" w:uiPriority="1"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eastAsia="t" w:cstheme="minorBidi"/>
      <w:kern w:val="2"/>
      <w:sz w:val="21"/>
      <w:szCs w:val="24"/>
    </w:rPr>
  </w:style>
  <w:style w:type="paragraph" w:styleId="30">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rPr>
      <w:rFonts w:ascii="仿宋" w:eastAsia="仿宋" w:hAnsi="仿宋" w:cs="仿宋"/>
      <w:sz w:val="32"/>
      <w:szCs w:val="32"/>
      <w:lang w:val="zh-CN" w:bidi="zh-CN"/>
    </w:rPr>
  </w:style>
  <w:style w:type="paragraph" w:styleId="a4">
    <w:name w:val="annotation text"/>
    <w:basedOn w:val="a"/>
    <w:link w:val="a5"/>
    <w:qFormat/>
    <w:pPr>
      <w:jc w:val="left"/>
    </w:p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qFormat/>
    <w:pPr>
      <w:spacing w:beforeAutospacing="1" w:afterAutospacing="1"/>
      <w:jc w:val="left"/>
    </w:pPr>
    <w:rPr>
      <w:rFonts w:cs="Times New Roman"/>
      <w:kern w:val="0"/>
      <w:sz w:val="24"/>
    </w:rPr>
  </w:style>
  <w:style w:type="paragraph" w:styleId="a9">
    <w:name w:val="annotation subject"/>
    <w:basedOn w:val="a4"/>
    <w:next w:val="a4"/>
    <w:link w:val="aa"/>
    <w:qFormat/>
    <w:rPr>
      <w:b/>
      <w:bCs/>
    </w:rPr>
  </w:style>
  <w:style w:type="table" w:styleId="a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1"/>
    <w:uiPriority w:val="22"/>
    <w:qFormat/>
    <w:rPr>
      <w:b/>
    </w:rPr>
  </w:style>
  <w:style w:type="character" w:styleId="ad">
    <w:name w:val="Emphasis"/>
    <w:basedOn w:val="a1"/>
    <w:uiPriority w:val="20"/>
    <w:qFormat/>
    <w:rPr>
      <w:i/>
    </w:rPr>
  </w:style>
  <w:style w:type="character" w:styleId="ae">
    <w:name w:val="Hyperlink"/>
    <w:basedOn w:val="a1"/>
    <w:qFormat/>
    <w:rPr>
      <w:color w:val="0000FF"/>
      <w:u w:val="single"/>
    </w:rPr>
  </w:style>
  <w:style w:type="character" w:styleId="af">
    <w:name w:val="annotation reference"/>
    <w:basedOn w:val="a1"/>
    <w:qFormat/>
    <w:rPr>
      <w:sz w:val="21"/>
      <w:szCs w:val="21"/>
    </w:rPr>
  </w:style>
  <w:style w:type="paragraph" w:customStyle="1" w:styleId="af0">
    <w:name w:val="论文标题"/>
    <w:basedOn w:val="a"/>
    <w:qFormat/>
    <w:pPr>
      <w:jc w:val="center"/>
    </w:pPr>
    <w:rPr>
      <w:rFonts w:eastAsia="Times New Roman" w:cs="Times New Roman"/>
      <w:b/>
      <w:sz w:val="28"/>
      <w:szCs w:val="28"/>
    </w:rPr>
  </w:style>
  <w:style w:type="paragraph" w:customStyle="1" w:styleId="af1">
    <w:name w:val="作者名字"/>
    <w:basedOn w:val="a"/>
    <w:qFormat/>
    <w:rPr>
      <w:rFonts w:eastAsia="Times New Roman" w:cs="Times New Roman"/>
      <w:b/>
    </w:rPr>
  </w:style>
  <w:style w:type="paragraph" w:customStyle="1" w:styleId="af2">
    <w:name w:val="作者单位"/>
    <w:basedOn w:val="a"/>
    <w:qFormat/>
    <w:pPr>
      <w:spacing w:after="120"/>
    </w:pPr>
    <w:rPr>
      <w:rFonts w:eastAsia="Times New Roman" w:cs="Times New Roman"/>
      <w:i/>
    </w:rPr>
  </w:style>
  <w:style w:type="paragraph" w:styleId="af3">
    <w:name w:val="List Paragraph"/>
    <w:basedOn w:val="a"/>
    <w:uiPriority w:val="34"/>
    <w:qFormat/>
    <w:pPr>
      <w:ind w:left="720"/>
      <w:contextualSpacing/>
    </w:pPr>
    <w:rPr>
      <w:sz w:val="26"/>
    </w:rPr>
  </w:style>
  <w:style w:type="table" w:customStyle="1" w:styleId="Style60">
    <w:name w:val="_Style 60"/>
    <w:basedOn w:val="a2"/>
    <w:qFormat/>
    <w:rPr>
      <w:rFonts w:eastAsia="Times New Roman"/>
    </w:rPr>
    <w:tblPr/>
  </w:style>
  <w:style w:type="paragraph" w:customStyle="1" w:styleId="p1">
    <w:name w:val="p1"/>
    <w:basedOn w:val="a"/>
    <w:qFormat/>
    <w:pPr>
      <w:jc w:val="left"/>
    </w:pPr>
    <w:rPr>
      <w:rFonts w:ascii=".sf ns" w:eastAsia=".sf ns" w:hAnsi=".sf ns" w:cs="Times New Roman"/>
      <w:color w:val="0E0E0E"/>
      <w:kern w:val="0"/>
      <w:sz w:val="28"/>
      <w:szCs w:val="28"/>
    </w:rPr>
  </w:style>
  <w:style w:type="paragraph" w:customStyle="1" w:styleId="p2">
    <w:name w:val="p2"/>
    <w:basedOn w:val="a"/>
    <w:qFormat/>
    <w:pPr>
      <w:jc w:val="left"/>
    </w:pPr>
    <w:rPr>
      <w:rFonts w:ascii=".sf ns" w:eastAsia=".sf ns" w:hAnsi=".sf ns" w:cs="Times New Roman"/>
      <w:color w:val="0E0E0E"/>
      <w:kern w:val="0"/>
      <w:sz w:val="28"/>
      <w:szCs w:val="28"/>
    </w:rPr>
  </w:style>
  <w:style w:type="paragraph" w:customStyle="1" w:styleId="p3">
    <w:name w:val="p3"/>
    <w:basedOn w:val="a"/>
    <w:qFormat/>
    <w:pPr>
      <w:jc w:val="left"/>
    </w:pPr>
    <w:rPr>
      <w:rFonts w:ascii=".sf ns" w:eastAsia=".sf ns" w:hAnsi=".sf ns" w:cs="Times New Roman"/>
      <w:color w:val="0E0E0E"/>
      <w:kern w:val="0"/>
      <w:sz w:val="28"/>
      <w:szCs w:val="28"/>
    </w:rPr>
  </w:style>
  <w:style w:type="table" w:customStyle="1" w:styleId="Style61">
    <w:name w:val="_Style 61"/>
    <w:basedOn w:val="a2"/>
    <w:qFormat/>
    <w:tblPr>
      <w:tblCellMar>
        <w:top w:w="100" w:type="dxa"/>
        <w:left w:w="100" w:type="dxa"/>
        <w:bottom w:w="100" w:type="dxa"/>
        <w:right w:w="100" w:type="dxa"/>
      </w:tblCellMar>
    </w:tblPr>
  </w:style>
  <w:style w:type="character" w:customStyle="1" w:styleId="15">
    <w:name w:val="15"/>
    <w:basedOn w:val="a1"/>
    <w:qFormat/>
    <w:rPr>
      <w:rFonts w:ascii="t" w:hAnsi="t" w:hint="default"/>
      <w:color w:val="0000FF"/>
      <w:u w:val="single"/>
    </w:rPr>
  </w:style>
  <w:style w:type="character" w:customStyle="1" w:styleId="s1">
    <w:name w:val="s1"/>
    <w:basedOn w:val="a1"/>
    <w:qFormat/>
    <w:rPr>
      <w:rFonts w:ascii="PingFang SC" w:eastAsia="PingFang SC" w:hAnsi="PingFang SC" w:cs="PingFang SC"/>
      <w:sz w:val="26"/>
      <w:szCs w:val="26"/>
    </w:rPr>
  </w:style>
  <w:style w:type="character" w:customStyle="1" w:styleId="s2">
    <w:name w:val="s2"/>
    <w:basedOn w:val="a1"/>
    <w:qFormat/>
    <w:rPr>
      <w:color w:val="DCA10D"/>
    </w:rPr>
  </w:style>
  <w:style w:type="paragraph" w:customStyle="1" w:styleId="10">
    <w:name w:val="修订1"/>
    <w:hidden/>
    <w:uiPriority w:val="99"/>
    <w:unhideWhenUsed/>
    <w:qFormat/>
    <w:rPr>
      <w:rFonts w:eastAsia="t" w:cstheme="minorBidi"/>
      <w:kern w:val="2"/>
      <w:sz w:val="21"/>
      <w:szCs w:val="24"/>
    </w:rPr>
  </w:style>
  <w:style w:type="character" w:customStyle="1" w:styleId="a5">
    <w:name w:val="批注文字 字符"/>
    <w:basedOn w:val="a1"/>
    <w:link w:val="a4"/>
    <w:qFormat/>
    <w:rPr>
      <w:rFonts w:eastAsia="t" w:cstheme="minorBidi"/>
      <w:kern w:val="2"/>
      <w:sz w:val="21"/>
      <w:szCs w:val="24"/>
    </w:rPr>
  </w:style>
  <w:style w:type="character" w:customStyle="1" w:styleId="aa">
    <w:name w:val="批注主题 字符"/>
    <w:basedOn w:val="a5"/>
    <w:link w:val="a9"/>
    <w:qFormat/>
    <w:rPr>
      <w:rFonts w:eastAsia="t" w:cstheme="minorBidi"/>
      <w:b/>
      <w:bCs/>
      <w:kern w:val="2"/>
      <w:sz w:val="21"/>
      <w:szCs w:val="24"/>
    </w:rPr>
  </w:style>
  <w:style w:type="character" w:customStyle="1" w:styleId="11">
    <w:name w:val="未处理的提及1"/>
    <w:basedOn w:val="a1"/>
    <w:uiPriority w:val="99"/>
    <w:semiHidden/>
    <w:unhideWhenUsed/>
    <w:qFormat/>
    <w:rPr>
      <w:color w:val="605E5C"/>
      <w:shd w:val="clear" w:color="auto" w:fill="E1DFDD"/>
    </w:rPr>
  </w:style>
  <w:style w:type="paragraph" w:customStyle="1" w:styleId="12">
    <w:name w:val="书目1"/>
    <w:basedOn w:val="a"/>
    <w:qFormat/>
    <w:pPr>
      <w:spacing w:line="480" w:lineRule="auto"/>
      <w:ind w:left="720" w:hanging="720"/>
    </w:pPr>
  </w:style>
  <w:style w:type="paragraph" w:styleId="af4">
    <w:name w:val="Revision"/>
    <w:hidden/>
    <w:uiPriority w:val="99"/>
    <w:unhideWhenUsed/>
    <w:rsid w:val="009C41E5"/>
    <w:rPr>
      <w:rFonts w:eastAsia="t" w:cstheme="minorBidi"/>
      <w:kern w:val="2"/>
      <w:sz w:val="21"/>
      <w:szCs w:val="24"/>
    </w:rPr>
  </w:style>
  <w:style w:type="character" w:styleId="af5">
    <w:name w:val="FollowedHyperlink"/>
    <w:basedOn w:val="a1"/>
    <w:rsid w:val="00ED317F"/>
    <w:rPr>
      <w:color w:val="7E1FAD" w:themeColor="followedHyperlink"/>
      <w:u w:val="single"/>
    </w:rPr>
  </w:style>
  <w:style w:type="numbering" w:customStyle="1" w:styleId="1">
    <w:name w:val="当前列表1"/>
    <w:uiPriority w:val="99"/>
    <w:rsid w:val="00CC71A8"/>
    <w:pPr>
      <w:numPr>
        <w:numId w:val="2"/>
      </w:numPr>
    </w:pPr>
  </w:style>
  <w:style w:type="numbering" w:customStyle="1" w:styleId="2">
    <w:name w:val="当前列表2"/>
    <w:uiPriority w:val="99"/>
    <w:rsid w:val="00161AED"/>
    <w:pPr>
      <w:numPr>
        <w:numId w:val="3"/>
      </w:numPr>
    </w:pPr>
  </w:style>
  <w:style w:type="numbering" w:customStyle="1" w:styleId="3">
    <w:name w:val="当前列表3"/>
    <w:uiPriority w:val="99"/>
    <w:rsid w:val="00161AED"/>
    <w:pPr>
      <w:numPr>
        <w:numId w:val="4"/>
      </w:numPr>
    </w:pPr>
  </w:style>
  <w:style w:type="character" w:styleId="af6">
    <w:name w:val="Unresolved Mention"/>
    <w:basedOn w:val="a1"/>
    <w:uiPriority w:val="99"/>
    <w:semiHidden/>
    <w:unhideWhenUsed/>
    <w:rsid w:val="008E3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4976</Words>
  <Characters>30210</Characters>
  <Application>Microsoft Office Word</Application>
  <DocSecurity>0</DocSecurity>
  <Lines>444</Lines>
  <Paragraphs>129</Paragraphs>
  <ScaleCrop>false</ScaleCrop>
  <Company/>
  <LinksUpToDate>false</LinksUpToDate>
  <CharactersWithSpaces>35057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陳未來</dc:creator>
  <cp:lastModifiedBy>Jay</cp:lastModifiedBy>
  <cp:revision>22</cp:revision>
  <cp:lastPrinted>2025-08-24T13:25:00Z</cp:lastPrinted>
  <dcterms:created xsi:type="dcterms:W3CDTF">2025-11-17T11:52:00Z</dcterms:created>
  <dcterms:modified xsi:type="dcterms:W3CDTF">2026-04-13T01:19:00Z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46962C6220424395A5062781EA13BBAF_13</vt:lpwstr>
  </property>
  <property fmtid="{D5CDD505-2E9C-101B-9397-08002B2CF9AE}" pid="4" name="KSOTemplateDocerSaveRecord">
    <vt:lpwstr>eyJoZGlkIjoiMTVjOTgzNzk5NTkxOTZhMTM3ZTc1OTIyNDAzYTcwZTkiLCJ1c2VySWQiOiIxMTIzMTM1ODc3In0=</vt:lpwstr>
  </property>
</Properties>
</file>